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27503" w14:textId="35715661" w:rsidR="00EF6810" w:rsidRDefault="00EF6810" w:rsidP="00BD68F7">
      <w:pPr>
        <w:pStyle w:val="Heading1"/>
        <w:spacing w:before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F9240B">
        <w:t>Backgrounder</w:t>
      </w:r>
      <w:r w:rsidR="00A15699">
        <w:t xml:space="preserve"> - </w:t>
      </w:r>
      <w:r w:rsidR="00F9240B" w:rsidRPr="00F9240B">
        <w:t xml:space="preserve">Office of the Information </w:t>
      </w:r>
      <w:r w:rsidR="00DF23F6" w:rsidRPr="00F9240B">
        <w:t>Commissioner</w:t>
      </w:r>
      <w:r w:rsidR="00F9240B" w:rsidRPr="00F9240B">
        <w:t xml:space="preserve"> of </w:t>
      </w:r>
      <w:r w:rsidR="00BA77E0" w:rsidRPr="00F9240B">
        <w:t xml:space="preserve">Canada </w:t>
      </w:r>
    </w:p>
    <w:p w14:paraId="632FC8E8" w14:textId="77777777" w:rsidR="00A3051D" w:rsidRDefault="00A3051D" w:rsidP="00B04416">
      <w:pPr>
        <w:pStyle w:val="Heading2"/>
        <w:spacing w:before="0" w:line="240" w:lineRule="auto"/>
      </w:pPr>
    </w:p>
    <w:p w14:paraId="3B3B5DCC" w14:textId="77777777" w:rsidR="00002835" w:rsidRPr="00002835" w:rsidRDefault="00BC0155" w:rsidP="00EB3EA4">
      <w:pPr>
        <w:pStyle w:val="Heading2"/>
        <w:spacing w:before="0" w:line="240" w:lineRule="auto"/>
      </w:pPr>
      <w:r>
        <w:t xml:space="preserve">Guiding </w:t>
      </w:r>
      <w:r w:rsidR="00091AA9" w:rsidRPr="00EF6810">
        <w:t>Principles</w:t>
      </w:r>
      <w:r>
        <w:t xml:space="preserve"> - Investigations</w:t>
      </w:r>
    </w:p>
    <w:p w14:paraId="6F8A3C10" w14:textId="77777777" w:rsidR="00002835" w:rsidRP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>When we begin an investigation, we complete it within a reasonable timeframe.</w:t>
      </w:r>
    </w:p>
    <w:p w14:paraId="252F33AA" w14:textId="77777777" w:rsidR="00002835" w:rsidRP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>We investigate complainants' allegations as stated or as clarified at the beginning of the investigation and according to the parameters of the access request.</w:t>
      </w:r>
    </w:p>
    <w:p w14:paraId="1EDDD25B" w14:textId="77777777" w:rsidR="00002835" w:rsidRP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>We prioritize discussions with the parties to complete investigations promptly.</w:t>
      </w:r>
    </w:p>
    <w:p w14:paraId="3EDBBF7B" w14:textId="77777777" w:rsidR="00002835" w:rsidRP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>We seek representations promptly in order not to delay investigations; we conclude investigations even when the parties do not provide representations.</w:t>
      </w:r>
    </w:p>
    <w:p w14:paraId="0F4DA408" w14:textId="77777777" w:rsidR="00002835" w:rsidRP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>We diligently follow up on files without waiting between steps.</w:t>
      </w:r>
    </w:p>
    <w:p w14:paraId="309A9249" w14:textId="77777777" w:rsidR="00002835" w:rsidRP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>The analysis we present in published final reports is as complete as possible to serve as a reference for completing other investigations.</w:t>
      </w:r>
    </w:p>
    <w:p w14:paraId="34EACA05" w14:textId="77777777" w:rsidR="00002835" w:rsidRDefault="00002835" w:rsidP="00D4174F">
      <w:pPr>
        <w:pStyle w:val="ListParagraph"/>
        <w:numPr>
          <w:ilvl w:val="0"/>
          <w:numId w:val="7"/>
        </w:numPr>
        <w:ind w:left="351" w:hanging="357"/>
        <w:rPr>
          <w:rFonts w:asciiTheme="minorHAnsi" w:hAnsiTheme="minorHAnsi" w:cstheme="minorHAnsi"/>
        </w:rPr>
      </w:pPr>
      <w:r w:rsidRPr="00002835">
        <w:rPr>
          <w:rFonts w:asciiTheme="minorHAnsi" w:hAnsiTheme="minorHAnsi" w:cstheme="minorHAnsi"/>
        </w:rPr>
        <w:t xml:space="preserve">We follow our established investigations processes to ensure </w:t>
      </w:r>
      <w:r w:rsidR="00B04416" w:rsidRPr="00002835">
        <w:rPr>
          <w:rFonts w:asciiTheme="minorHAnsi" w:hAnsiTheme="minorHAnsi" w:cstheme="minorHAnsi"/>
        </w:rPr>
        <w:t>high quality</w:t>
      </w:r>
      <w:r w:rsidRPr="00002835">
        <w:rPr>
          <w:rFonts w:asciiTheme="minorHAnsi" w:hAnsiTheme="minorHAnsi" w:cstheme="minorHAnsi"/>
        </w:rPr>
        <w:t xml:space="preserve"> and efficient investigations and reports. </w:t>
      </w:r>
    </w:p>
    <w:p w14:paraId="2E54F0F1" w14:textId="77777777" w:rsidR="00B04416" w:rsidRDefault="00B04416" w:rsidP="00D4174F">
      <w:pPr>
        <w:pStyle w:val="ListParagraph"/>
        <w:ind w:left="357"/>
        <w:rPr>
          <w:rFonts w:asciiTheme="minorHAnsi" w:hAnsiTheme="minorHAnsi" w:cstheme="minorHAnsi"/>
        </w:rPr>
      </w:pPr>
    </w:p>
    <w:p w14:paraId="0BAC2033" w14:textId="77777777" w:rsidR="009F10C4" w:rsidRDefault="009F10C4" w:rsidP="00D4174F">
      <w:pPr>
        <w:pStyle w:val="Heading2"/>
        <w:spacing w:before="0" w:line="240" w:lineRule="auto"/>
      </w:pPr>
      <w:r w:rsidRPr="009F0BDF">
        <w:t xml:space="preserve">Investigations: </w:t>
      </w:r>
      <w:r>
        <w:t xml:space="preserve">Results </w:t>
      </w:r>
    </w:p>
    <w:p w14:paraId="655C056A" w14:textId="77777777" w:rsidR="009F10C4" w:rsidRPr="00657F69" w:rsidRDefault="009F10C4" w:rsidP="00D4174F">
      <w:pPr>
        <w:pStyle w:val="Heading2"/>
        <w:numPr>
          <w:ilvl w:val="0"/>
          <w:numId w:val="10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8A15D3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Sinc</w:t>
      </w:r>
      <w:r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e the beginning of Commissioner</w:t>
      </w:r>
      <w:r w:rsidR="00845CB5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 Maynard</w:t>
      </w:r>
      <w:r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’s mandate </w:t>
      </w:r>
      <w:r w:rsid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o</w:t>
      </w:r>
      <w:r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n March </w:t>
      </w:r>
      <w:r w:rsid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1, </w:t>
      </w:r>
      <w:r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2018, the</w:t>
      </w:r>
      <w:r w:rsidR="004F4162"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 </w:t>
      </w:r>
      <w:r w:rsidR="006528C8"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number </w:t>
      </w:r>
      <w:r w:rsidR="00845CB5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of </w:t>
      </w:r>
      <w:r w:rsidRPr="008A15D3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complaints received by the O</w:t>
      </w:r>
      <w:r w:rsidR="00845CB5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ffice of the Information Commissioner (O</w:t>
      </w:r>
      <w:r w:rsidRPr="008A15D3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IC</w:t>
      </w:r>
      <w:r w:rsidR="00845CB5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)</w:t>
      </w:r>
      <w:r w:rsidRPr="008A15D3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 has grow</w:t>
      </w:r>
      <w:r w:rsidR="00480EB8" w:rsidRPr="008A15D3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n</w:t>
      </w:r>
      <w:r w:rsidRPr="008A15D3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 xml:space="preserve"> </w:t>
      </w:r>
      <w:r w:rsidR="00845CB5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by </w:t>
      </w:r>
      <w:r w:rsidR="00345977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180</w:t>
      </w:r>
      <w:r w:rsidR="00345977"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%</w:t>
      </w:r>
      <w:r w:rsidRPr="00657F69">
        <w:rPr>
          <w:rFonts w:asciiTheme="minorHAnsi" w:eastAsia="Times New Roman" w:hAnsiTheme="minorHAnsi" w:cstheme="minorHAnsi"/>
          <w:color w:val="auto"/>
          <w:sz w:val="24"/>
          <w:szCs w:val="24"/>
          <w:lang w:eastAsia="en-CA"/>
        </w:rPr>
        <w:t>.</w:t>
      </w:r>
    </w:p>
    <w:p w14:paraId="164898E3" w14:textId="77777777" w:rsidR="00DA0BF9" w:rsidRDefault="009F10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A0BF9">
        <w:rPr>
          <w:rFonts w:asciiTheme="minorHAnsi" w:hAnsiTheme="minorHAnsi" w:cstheme="minorHAnsi"/>
        </w:rPr>
        <w:t xml:space="preserve">2021-2022 was </w:t>
      </w:r>
      <w:r w:rsidRPr="00AA4173">
        <w:rPr>
          <w:rFonts w:asciiTheme="minorHAnsi" w:hAnsiTheme="minorHAnsi" w:cstheme="minorHAnsi"/>
        </w:rPr>
        <w:t>a record year, with almost 7,000 </w:t>
      </w:r>
      <w:r w:rsidRPr="007900BE">
        <w:rPr>
          <w:rFonts w:asciiTheme="minorHAnsi" w:hAnsiTheme="minorHAnsi" w:cstheme="minorHAnsi"/>
        </w:rPr>
        <w:t>new complaints registered</w:t>
      </w:r>
      <w:r w:rsidR="00DA0BF9">
        <w:rPr>
          <w:rFonts w:asciiTheme="minorHAnsi" w:hAnsiTheme="minorHAnsi" w:cstheme="minorHAnsi"/>
        </w:rPr>
        <w:t xml:space="preserve"> (</w:t>
      </w:r>
      <w:r w:rsidR="00845CB5">
        <w:rPr>
          <w:rFonts w:asciiTheme="minorHAnsi" w:hAnsiTheme="minorHAnsi" w:cstheme="minorHAnsi"/>
        </w:rPr>
        <w:t>70% more than </w:t>
      </w:r>
      <w:r w:rsidRPr="007900BE">
        <w:rPr>
          <w:rFonts w:asciiTheme="minorHAnsi" w:hAnsiTheme="minorHAnsi" w:cstheme="minorHAnsi"/>
        </w:rPr>
        <w:t>the previous year</w:t>
      </w:r>
      <w:r w:rsidR="00DA0BF9">
        <w:rPr>
          <w:rFonts w:asciiTheme="minorHAnsi" w:hAnsiTheme="minorHAnsi" w:cstheme="minorHAnsi"/>
        </w:rPr>
        <w:t>).</w:t>
      </w:r>
    </w:p>
    <w:p w14:paraId="7A1E0D16" w14:textId="77777777" w:rsidR="009F10C4" w:rsidRPr="0037597C" w:rsidRDefault="008A15D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Complaint numbers for 2022-23 will likely surpass those of the previous year</w:t>
      </w:r>
      <w:r w:rsidR="00DA0BF9">
        <w:rPr>
          <w:rFonts w:asciiTheme="minorHAnsi" w:hAnsiTheme="minorHAnsi" w:cstheme="minorHAnsi"/>
        </w:rPr>
        <w:t>.</w:t>
      </w:r>
    </w:p>
    <w:p w14:paraId="6DE8EFEA" w14:textId="2895DDAD" w:rsidR="009F10C4" w:rsidRPr="00953AD5" w:rsidRDefault="009F10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53AD5">
        <w:rPr>
          <w:rFonts w:asciiTheme="minorHAnsi" w:hAnsiTheme="minorHAnsi" w:cstheme="minorHAnsi"/>
        </w:rPr>
        <w:t>In 2021-2022, the OIC succeeded in closing 67% more comp</w:t>
      </w:r>
      <w:r w:rsidR="00C7148E" w:rsidRPr="00953AD5">
        <w:rPr>
          <w:rFonts w:asciiTheme="minorHAnsi" w:hAnsiTheme="minorHAnsi" w:cstheme="minorHAnsi"/>
        </w:rPr>
        <w:t xml:space="preserve">laints than the previous </w:t>
      </w:r>
      <w:r w:rsidRPr="00953AD5">
        <w:rPr>
          <w:rFonts w:asciiTheme="minorHAnsi" w:hAnsiTheme="minorHAnsi" w:cstheme="minorHAnsi"/>
        </w:rPr>
        <w:t>year.</w:t>
      </w:r>
    </w:p>
    <w:p w14:paraId="1C48C5A4" w14:textId="12A55705" w:rsidR="009F10C4" w:rsidRPr="00953AD5" w:rsidRDefault="009F10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53AD5">
        <w:rPr>
          <w:rFonts w:asciiTheme="minorHAnsi" w:hAnsiTheme="minorHAnsi" w:cstheme="minorHAnsi"/>
        </w:rPr>
        <w:t xml:space="preserve">To provide clear guidance on </w:t>
      </w:r>
      <w:r w:rsidR="008A15D3" w:rsidRPr="00953AD5">
        <w:rPr>
          <w:rFonts w:asciiTheme="minorHAnsi" w:hAnsiTheme="minorHAnsi" w:cstheme="minorHAnsi"/>
        </w:rPr>
        <w:t>the Commissioner’s</w:t>
      </w:r>
      <w:r w:rsidRPr="00953AD5">
        <w:rPr>
          <w:rFonts w:asciiTheme="minorHAnsi" w:hAnsiTheme="minorHAnsi" w:cstheme="minorHAnsi"/>
        </w:rPr>
        <w:t xml:space="preserve"> interpretation of the Act and to ensure</w:t>
      </w:r>
      <w:r w:rsidR="00DA0BF9" w:rsidRPr="00953AD5">
        <w:rPr>
          <w:rFonts w:asciiTheme="minorHAnsi" w:hAnsiTheme="minorHAnsi" w:cstheme="minorHAnsi"/>
        </w:rPr>
        <w:t xml:space="preserve"> that </w:t>
      </w:r>
      <w:r w:rsidRPr="00953AD5">
        <w:rPr>
          <w:rFonts w:asciiTheme="minorHAnsi" w:hAnsiTheme="minorHAnsi" w:cstheme="minorHAnsi"/>
        </w:rPr>
        <w:t>complainants and institutions understand the OIC’s positio</w:t>
      </w:r>
      <w:r w:rsidR="000638BC" w:rsidRPr="00953AD5">
        <w:rPr>
          <w:rFonts w:asciiTheme="minorHAnsi" w:hAnsiTheme="minorHAnsi" w:cstheme="minorHAnsi"/>
        </w:rPr>
        <w:t xml:space="preserve">n, the OIC has published </w:t>
      </w:r>
      <w:r w:rsidR="00BD68F7" w:rsidRPr="00953AD5">
        <w:rPr>
          <w:rFonts w:asciiTheme="minorHAnsi" w:hAnsiTheme="minorHAnsi" w:cstheme="minorHAnsi"/>
        </w:rPr>
        <w:t>125</w:t>
      </w:r>
      <w:r w:rsidR="00C7148E" w:rsidRPr="00953AD5">
        <w:rPr>
          <w:rFonts w:asciiTheme="minorHAnsi" w:hAnsiTheme="minorHAnsi" w:cstheme="minorHAnsi"/>
        </w:rPr>
        <w:t> </w:t>
      </w:r>
      <w:r w:rsidRPr="00953AD5">
        <w:rPr>
          <w:rFonts w:asciiTheme="minorHAnsi" w:hAnsiTheme="minorHAnsi" w:cstheme="minorHAnsi"/>
        </w:rPr>
        <w:t xml:space="preserve">final reports and summaries on its website as of </w:t>
      </w:r>
      <w:r w:rsidR="00DA4582" w:rsidRPr="00953AD5">
        <w:rPr>
          <w:rFonts w:asciiTheme="minorHAnsi" w:hAnsiTheme="minorHAnsi" w:cstheme="minorHAnsi"/>
        </w:rPr>
        <w:t>March</w:t>
      </w:r>
      <w:r w:rsidRPr="00953AD5">
        <w:rPr>
          <w:rFonts w:asciiTheme="minorHAnsi" w:hAnsiTheme="minorHAnsi" w:cstheme="minorHAnsi"/>
        </w:rPr>
        <w:t xml:space="preserve"> 1, 2023. </w:t>
      </w:r>
    </w:p>
    <w:p w14:paraId="6D9FB5C0" w14:textId="5D6F5AC7" w:rsidR="009F10C4" w:rsidRPr="00953AD5" w:rsidRDefault="009F10C4" w:rsidP="00D4174F">
      <w:pPr>
        <w:rPr>
          <w:rFonts w:ascii="Calibri" w:hAnsi="Calibri" w:cs="Calibri"/>
        </w:rPr>
      </w:pPr>
    </w:p>
    <w:p w14:paraId="2C82E738" w14:textId="4ECDF3DF" w:rsidR="00BD68F7" w:rsidRPr="00953AD5" w:rsidRDefault="00BD68F7" w:rsidP="00BD68F7">
      <w:pPr>
        <w:pStyle w:val="Heading2"/>
      </w:pPr>
      <w:r w:rsidRPr="00953AD5">
        <w:t>Planned human resources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04"/>
        <w:gridCol w:w="1276"/>
        <w:gridCol w:w="1276"/>
        <w:gridCol w:w="1276"/>
        <w:gridCol w:w="1276"/>
        <w:gridCol w:w="1280"/>
        <w:gridCol w:w="1272"/>
      </w:tblGrid>
      <w:tr w:rsidR="00A15699" w:rsidRPr="00953AD5" w14:paraId="75F8BC3C" w14:textId="77777777" w:rsidTr="00A15699">
        <w:trPr>
          <w:trHeight w:val="856"/>
        </w:trPr>
        <w:tc>
          <w:tcPr>
            <w:tcW w:w="1195" w:type="pct"/>
            <w:shd w:val="clear" w:color="auto" w:fill="5B9BD5" w:themeFill="accent1"/>
          </w:tcPr>
          <w:p w14:paraId="6CA6432B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Core responsibilities and internal services</w:t>
            </w:r>
          </w:p>
        </w:tc>
        <w:tc>
          <w:tcPr>
            <w:tcW w:w="634" w:type="pct"/>
            <w:shd w:val="clear" w:color="auto" w:fill="5B9BD5" w:themeFill="accent1"/>
          </w:tcPr>
          <w:p w14:paraId="416BBA10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2020–21 actual full</w:t>
            </w: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noBreakHyphen/>
              <w:t>time equivalents</w:t>
            </w:r>
          </w:p>
        </w:tc>
        <w:tc>
          <w:tcPr>
            <w:tcW w:w="634" w:type="pct"/>
            <w:shd w:val="clear" w:color="auto" w:fill="5B9BD5" w:themeFill="accent1"/>
          </w:tcPr>
          <w:p w14:paraId="5CCDD1F3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2021–22 actual full</w:t>
            </w: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noBreakHyphen/>
              <w:t>time equivalents</w:t>
            </w:r>
          </w:p>
        </w:tc>
        <w:tc>
          <w:tcPr>
            <w:tcW w:w="634" w:type="pct"/>
            <w:shd w:val="clear" w:color="auto" w:fill="5B9BD5" w:themeFill="accent1"/>
          </w:tcPr>
          <w:p w14:paraId="5EFC44D2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2022–23 forecast full</w:t>
            </w: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noBreakHyphen/>
              <w:t>time equivalents</w:t>
            </w:r>
          </w:p>
        </w:tc>
        <w:tc>
          <w:tcPr>
            <w:tcW w:w="634" w:type="pct"/>
            <w:shd w:val="clear" w:color="auto" w:fill="5B9BD5" w:themeFill="accent1"/>
          </w:tcPr>
          <w:p w14:paraId="0EE91B90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2023–24 planned full</w:t>
            </w: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noBreakHyphen/>
              <w:t>time equivalents</w:t>
            </w:r>
          </w:p>
        </w:tc>
        <w:tc>
          <w:tcPr>
            <w:tcW w:w="636" w:type="pct"/>
            <w:shd w:val="clear" w:color="auto" w:fill="5B9BD5" w:themeFill="accent1"/>
          </w:tcPr>
          <w:p w14:paraId="1FD30CAD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2024–25 planned full</w:t>
            </w: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noBreakHyphen/>
              <w:t>time equivalents</w:t>
            </w:r>
          </w:p>
        </w:tc>
        <w:tc>
          <w:tcPr>
            <w:tcW w:w="632" w:type="pct"/>
            <w:shd w:val="clear" w:color="auto" w:fill="5B9BD5" w:themeFill="accent1"/>
          </w:tcPr>
          <w:p w14:paraId="7E9A0683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2025–26 planned full</w:t>
            </w:r>
            <w:r w:rsidRPr="00953AD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noBreakHyphen/>
              <w:t>time equivalents</w:t>
            </w:r>
          </w:p>
        </w:tc>
      </w:tr>
      <w:tr w:rsidR="00A15699" w:rsidRPr="00953AD5" w14:paraId="1BE98BDD" w14:textId="77777777" w:rsidTr="00A15699">
        <w:trPr>
          <w:trHeight w:val="522"/>
        </w:trPr>
        <w:tc>
          <w:tcPr>
            <w:tcW w:w="1195" w:type="pct"/>
          </w:tcPr>
          <w:p w14:paraId="625A3252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Government transparency</w:t>
            </w:r>
          </w:p>
        </w:tc>
        <w:tc>
          <w:tcPr>
            <w:tcW w:w="634" w:type="pct"/>
          </w:tcPr>
          <w:p w14:paraId="39495C9D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34" w:type="pct"/>
          </w:tcPr>
          <w:p w14:paraId="4E72D14B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34" w:type="pct"/>
          </w:tcPr>
          <w:p w14:paraId="25D4176B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34" w:type="pct"/>
          </w:tcPr>
          <w:p w14:paraId="5493304C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36" w:type="pct"/>
          </w:tcPr>
          <w:p w14:paraId="2DB0B7F1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632" w:type="pct"/>
          </w:tcPr>
          <w:p w14:paraId="6F8D5457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A15699" w:rsidRPr="00953AD5" w14:paraId="3B2AF1CA" w14:textId="77777777" w:rsidTr="00A15699">
        <w:trPr>
          <w:trHeight w:val="317"/>
        </w:trPr>
        <w:tc>
          <w:tcPr>
            <w:tcW w:w="1195" w:type="pct"/>
          </w:tcPr>
          <w:p w14:paraId="69A7534E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634" w:type="pct"/>
          </w:tcPr>
          <w:p w14:paraId="5333D61D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/>
                <w:b/>
                <w:sz w:val="18"/>
              </w:rPr>
            </w:pPr>
            <w:r w:rsidRPr="00953AD5">
              <w:rPr>
                <w:rFonts w:ascii="Arial" w:hAnsi="Arial"/>
                <w:b/>
                <w:sz w:val="18"/>
              </w:rPr>
              <w:t>73</w:t>
            </w:r>
          </w:p>
        </w:tc>
        <w:tc>
          <w:tcPr>
            <w:tcW w:w="634" w:type="pct"/>
          </w:tcPr>
          <w:p w14:paraId="06A9FD44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/>
                <w:b/>
                <w:sz w:val="18"/>
              </w:rPr>
            </w:pPr>
            <w:r w:rsidRPr="00953AD5">
              <w:rPr>
                <w:rFonts w:ascii="Arial" w:hAnsi="Arial"/>
                <w:b/>
                <w:sz w:val="18"/>
              </w:rPr>
              <w:t>91</w:t>
            </w:r>
          </w:p>
        </w:tc>
        <w:tc>
          <w:tcPr>
            <w:tcW w:w="634" w:type="pct"/>
          </w:tcPr>
          <w:p w14:paraId="4265CE4E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/>
                <w:b/>
                <w:sz w:val="18"/>
              </w:rPr>
            </w:pPr>
            <w:r w:rsidRPr="00953AD5">
              <w:rPr>
                <w:rFonts w:ascii="Arial" w:hAnsi="Arial"/>
                <w:b/>
                <w:sz w:val="18"/>
              </w:rPr>
              <w:t>96</w:t>
            </w:r>
          </w:p>
        </w:tc>
        <w:tc>
          <w:tcPr>
            <w:tcW w:w="634" w:type="pct"/>
          </w:tcPr>
          <w:p w14:paraId="56A84D71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/>
                <w:b/>
                <w:sz w:val="18"/>
              </w:rPr>
            </w:pPr>
            <w:r w:rsidRPr="00953AD5">
              <w:rPr>
                <w:rFonts w:ascii="Arial" w:hAnsi="Arial"/>
                <w:b/>
                <w:sz w:val="18"/>
              </w:rPr>
              <w:t>96</w:t>
            </w:r>
          </w:p>
        </w:tc>
        <w:tc>
          <w:tcPr>
            <w:tcW w:w="636" w:type="pct"/>
          </w:tcPr>
          <w:p w14:paraId="11AFD05B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/>
                <w:b/>
                <w:sz w:val="18"/>
              </w:rPr>
            </w:pPr>
            <w:r w:rsidRPr="00953AD5">
              <w:rPr>
                <w:rFonts w:ascii="Arial" w:hAnsi="Arial"/>
                <w:b/>
                <w:sz w:val="18"/>
              </w:rPr>
              <w:t>96</w:t>
            </w:r>
          </w:p>
        </w:tc>
        <w:tc>
          <w:tcPr>
            <w:tcW w:w="632" w:type="pct"/>
          </w:tcPr>
          <w:p w14:paraId="20D8E08B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/>
                <w:b/>
                <w:sz w:val="18"/>
              </w:rPr>
            </w:pPr>
            <w:r w:rsidRPr="00953AD5">
              <w:rPr>
                <w:rFonts w:ascii="Arial" w:hAnsi="Arial"/>
                <w:b/>
                <w:sz w:val="18"/>
              </w:rPr>
              <w:t>96</w:t>
            </w:r>
          </w:p>
        </w:tc>
      </w:tr>
      <w:tr w:rsidR="00A15699" w:rsidRPr="00953AD5" w14:paraId="1BDB578A" w14:textId="77777777" w:rsidTr="00A15699">
        <w:trPr>
          <w:trHeight w:val="506"/>
        </w:trPr>
        <w:tc>
          <w:tcPr>
            <w:tcW w:w="1195" w:type="pct"/>
          </w:tcPr>
          <w:p w14:paraId="798A9C2F" w14:textId="77777777" w:rsidR="00A15699" w:rsidRPr="00953AD5" w:rsidRDefault="00A15699" w:rsidP="00C30EBC">
            <w:pPr>
              <w:keepNext/>
              <w:keepLines/>
              <w:spacing w:before="60" w:after="80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Internal services</w:t>
            </w:r>
          </w:p>
        </w:tc>
        <w:tc>
          <w:tcPr>
            <w:tcW w:w="634" w:type="pct"/>
          </w:tcPr>
          <w:p w14:paraId="5596B40E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34" w:type="pct"/>
          </w:tcPr>
          <w:p w14:paraId="11865607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34" w:type="pct"/>
          </w:tcPr>
          <w:p w14:paraId="699F1552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34" w:type="pct"/>
          </w:tcPr>
          <w:p w14:paraId="1701CF45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36" w:type="pct"/>
          </w:tcPr>
          <w:p w14:paraId="3B7953CC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632" w:type="pct"/>
          </w:tcPr>
          <w:p w14:paraId="389088C2" w14:textId="77777777" w:rsidR="00A15699" w:rsidRPr="00953AD5" w:rsidRDefault="00A15699" w:rsidP="00C30EBC">
            <w:pPr>
              <w:keepNext/>
              <w:keepLines/>
              <w:spacing w:before="6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3AD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15699" w:rsidRPr="00953AD5" w14:paraId="38E2BCAC" w14:textId="77777777" w:rsidTr="00A15699">
        <w:trPr>
          <w:trHeight w:val="225"/>
        </w:trPr>
        <w:tc>
          <w:tcPr>
            <w:tcW w:w="1195" w:type="pct"/>
          </w:tcPr>
          <w:p w14:paraId="48BA1389" w14:textId="77777777" w:rsidR="00A15699" w:rsidRPr="00953AD5" w:rsidRDefault="00A15699" w:rsidP="00C30EBC">
            <w:pPr>
              <w:spacing w:before="6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953AD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34" w:type="pct"/>
          </w:tcPr>
          <w:p w14:paraId="258C56C6" w14:textId="77777777" w:rsidR="00A15699" w:rsidRPr="00953AD5" w:rsidRDefault="00A15699" w:rsidP="00C30EBC">
            <w:pPr>
              <w:spacing w:before="60" w:after="80"/>
              <w:jc w:val="right"/>
              <w:rPr>
                <w:rFonts w:ascii="Arial" w:hAnsi="Arial"/>
                <w:b/>
                <w:sz w:val="18"/>
                <w:lang w:val="fr-CA"/>
              </w:rPr>
            </w:pPr>
            <w:r w:rsidRPr="00953AD5">
              <w:rPr>
                <w:rFonts w:ascii="Arial" w:hAnsi="Arial"/>
                <w:b/>
                <w:sz w:val="17"/>
                <w:lang w:val="fr-CA"/>
              </w:rPr>
              <w:t>109</w:t>
            </w:r>
          </w:p>
        </w:tc>
        <w:tc>
          <w:tcPr>
            <w:tcW w:w="634" w:type="pct"/>
          </w:tcPr>
          <w:p w14:paraId="13E9A1E7" w14:textId="77777777" w:rsidR="00A15699" w:rsidRPr="00953AD5" w:rsidRDefault="00A15699" w:rsidP="00C30EBC">
            <w:pPr>
              <w:spacing w:before="60" w:after="80"/>
              <w:jc w:val="right"/>
              <w:rPr>
                <w:rFonts w:ascii="Arial" w:hAnsi="Arial"/>
                <w:b/>
                <w:sz w:val="18"/>
                <w:lang w:val="fr-CA"/>
              </w:rPr>
            </w:pPr>
            <w:r w:rsidRPr="00953AD5">
              <w:rPr>
                <w:rFonts w:ascii="Arial" w:hAnsi="Arial"/>
                <w:b/>
                <w:sz w:val="17"/>
                <w:lang w:val="fr-CA"/>
              </w:rPr>
              <w:t>129</w:t>
            </w:r>
          </w:p>
        </w:tc>
        <w:tc>
          <w:tcPr>
            <w:tcW w:w="634" w:type="pct"/>
          </w:tcPr>
          <w:p w14:paraId="04F4E8B3" w14:textId="77777777" w:rsidR="00A15699" w:rsidRPr="00953AD5" w:rsidRDefault="00A15699" w:rsidP="00C30EBC">
            <w:pPr>
              <w:spacing w:before="60" w:after="80"/>
              <w:jc w:val="right"/>
              <w:rPr>
                <w:rFonts w:ascii="Arial" w:hAnsi="Arial"/>
                <w:b/>
                <w:sz w:val="18"/>
                <w:lang w:val="fr-CA"/>
              </w:rPr>
            </w:pPr>
            <w:r w:rsidRPr="00953AD5">
              <w:rPr>
                <w:rFonts w:ascii="Arial" w:hAnsi="Arial"/>
                <w:b/>
                <w:sz w:val="17"/>
                <w:lang w:val="fr-CA"/>
              </w:rPr>
              <w:t>128</w:t>
            </w:r>
          </w:p>
        </w:tc>
        <w:tc>
          <w:tcPr>
            <w:tcW w:w="634" w:type="pct"/>
          </w:tcPr>
          <w:p w14:paraId="428FBCF8" w14:textId="77777777" w:rsidR="00A15699" w:rsidRPr="00953AD5" w:rsidRDefault="00A15699" w:rsidP="00C30EBC">
            <w:pPr>
              <w:spacing w:before="60" w:after="80"/>
              <w:jc w:val="right"/>
              <w:rPr>
                <w:rFonts w:ascii="Arial" w:hAnsi="Arial"/>
                <w:b/>
                <w:sz w:val="18"/>
                <w:lang w:val="fr-CA"/>
              </w:rPr>
            </w:pPr>
            <w:r w:rsidRPr="00953AD5">
              <w:rPr>
                <w:rFonts w:ascii="Arial" w:hAnsi="Arial"/>
                <w:b/>
                <w:sz w:val="17"/>
                <w:lang w:val="fr-CA"/>
              </w:rPr>
              <w:t>128</w:t>
            </w:r>
          </w:p>
        </w:tc>
        <w:tc>
          <w:tcPr>
            <w:tcW w:w="636" w:type="pct"/>
          </w:tcPr>
          <w:p w14:paraId="1F515ACD" w14:textId="77777777" w:rsidR="00A15699" w:rsidRPr="00953AD5" w:rsidRDefault="00A15699" w:rsidP="00C30EBC">
            <w:pPr>
              <w:spacing w:before="60" w:after="80"/>
              <w:jc w:val="right"/>
              <w:rPr>
                <w:rFonts w:ascii="Arial" w:hAnsi="Arial"/>
                <w:b/>
                <w:sz w:val="18"/>
                <w:lang w:val="fr-CA"/>
              </w:rPr>
            </w:pPr>
            <w:r w:rsidRPr="00953AD5">
              <w:rPr>
                <w:rFonts w:ascii="Arial" w:hAnsi="Arial"/>
                <w:b/>
                <w:sz w:val="17"/>
                <w:lang w:val="fr-CA"/>
              </w:rPr>
              <w:t>128</w:t>
            </w:r>
          </w:p>
        </w:tc>
        <w:tc>
          <w:tcPr>
            <w:tcW w:w="632" w:type="pct"/>
          </w:tcPr>
          <w:p w14:paraId="0F1522BF" w14:textId="77777777" w:rsidR="00A15699" w:rsidRPr="00953AD5" w:rsidRDefault="00A15699" w:rsidP="00C30EBC">
            <w:pPr>
              <w:spacing w:before="60" w:after="80"/>
              <w:jc w:val="right"/>
              <w:rPr>
                <w:rFonts w:ascii="Arial" w:hAnsi="Arial"/>
                <w:b/>
                <w:sz w:val="18"/>
                <w:lang w:val="fr-CA"/>
              </w:rPr>
            </w:pPr>
            <w:r w:rsidRPr="00953AD5">
              <w:rPr>
                <w:rFonts w:ascii="Arial" w:hAnsi="Arial"/>
                <w:b/>
                <w:sz w:val="17"/>
                <w:lang w:val="fr-CA"/>
              </w:rPr>
              <w:t>128</w:t>
            </w:r>
          </w:p>
        </w:tc>
      </w:tr>
    </w:tbl>
    <w:p w14:paraId="230C77D2" w14:textId="20CC3AC5" w:rsidR="009F10C4" w:rsidRDefault="009F10C4" w:rsidP="00A15699">
      <w:pPr>
        <w:spacing w:before="100" w:beforeAutospacing="1" w:after="100" w:afterAutospacing="1" w:line="240" w:lineRule="auto"/>
        <w:rPr>
          <w:rStyle w:val="Hyperlink"/>
          <w:sz w:val="24"/>
          <w:szCs w:val="24"/>
        </w:rPr>
      </w:pPr>
      <w:r w:rsidRPr="00953AD5">
        <w:rPr>
          <w:rStyle w:val="SubtleEmphasis"/>
          <w:sz w:val="24"/>
          <w:szCs w:val="24"/>
        </w:rPr>
        <w:t>For more information on the O</w:t>
      </w:r>
      <w:r w:rsidR="00EF53D4" w:rsidRPr="00953AD5">
        <w:rPr>
          <w:rStyle w:val="SubtleEmphasis"/>
          <w:sz w:val="24"/>
          <w:szCs w:val="24"/>
        </w:rPr>
        <w:t>IC</w:t>
      </w:r>
      <w:r w:rsidRPr="00953AD5">
        <w:rPr>
          <w:rStyle w:val="SubtleEmphasis"/>
          <w:sz w:val="24"/>
          <w:szCs w:val="24"/>
        </w:rPr>
        <w:t xml:space="preserve">’s priorities, structure, planned spending and human resources, please consult </w:t>
      </w:r>
      <w:r w:rsidR="00EF53D4" w:rsidRPr="00953AD5">
        <w:rPr>
          <w:rStyle w:val="SubtleEmphasis"/>
          <w:sz w:val="24"/>
          <w:szCs w:val="24"/>
        </w:rPr>
        <w:t>our</w:t>
      </w:r>
      <w:r w:rsidRPr="00953AD5">
        <w:rPr>
          <w:rStyle w:val="SubtleEmphasis"/>
          <w:sz w:val="24"/>
          <w:szCs w:val="24"/>
        </w:rPr>
        <w:t xml:space="preserve"> </w:t>
      </w:r>
      <w:hyperlink r:id="rId7" w:history="1">
        <w:r w:rsidR="00EF53D4" w:rsidRPr="00953AD5">
          <w:rPr>
            <w:rStyle w:val="Hyperlink"/>
            <w:sz w:val="24"/>
            <w:szCs w:val="24"/>
          </w:rPr>
          <w:t>Pub</w:t>
        </w:r>
        <w:r w:rsidR="00A15699" w:rsidRPr="00953AD5">
          <w:rPr>
            <w:rStyle w:val="Hyperlink"/>
            <w:sz w:val="24"/>
            <w:szCs w:val="24"/>
          </w:rPr>
          <w:t>lications section</w:t>
        </w:r>
      </w:hyperlink>
      <w:r w:rsidR="00A15699" w:rsidRPr="00953AD5">
        <w:rPr>
          <w:rStyle w:val="SubtleEmphasis"/>
          <w:sz w:val="24"/>
          <w:szCs w:val="24"/>
        </w:rPr>
        <w:t>.</w:t>
      </w:r>
    </w:p>
    <w:p w14:paraId="0ACBF86A" w14:textId="25AC3770" w:rsidR="00EB3EA4" w:rsidRDefault="00A15699" w:rsidP="00EB3EA4">
      <w:pPr>
        <w:pStyle w:val="Heading2"/>
        <w:spacing w:before="0" w:line="240" w:lineRule="auto"/>
      </w:pPr>
      <w:r>
        <w:lastRenderedPageBreak/>
        <w:t>I</w:t>
      </w:r>
      <w:r w:rsidR="00EB3EA4" w:rsidRPr="009F0BDF">
        <w:t xml:space="preserve">nvestigations: </w:t>
      </w:r>
      <w:r w:rsidR="00EB3EA4">
        <w:t xml:space="preserve">Statistics as of </w:t>
      </w:r>
      <w:r w:rsidR="0002259C">
        <w:t>March</w:t>
      </w:r>
      <w:r w:rsidR="00EB3EA4">
        <w:t xml:space="preserve"> 1, 2023 </w:t>
      </w:r>
    </w:p>
    <w:p w14:paraId="4E059F4C" w14:textId="77777777" w:rsidR="002F038B" w:rsidRDefault="0002259C">
      <w:pPr>
        <w:rPr>
          <w:rFonts w:cstheme="minorHAnsi"/>
        </w:rPr>
      </w:pPr>
      <w:r>
        <w:rPr>
          <w:noProof/>
          <w:lang w:eastAsia="en-CA"/>
        </w:rPr>
        <w:drawing>
          <wp:inline distT="0" distB="0" distL="0" distR="0" wp14:anchorId="19705253" wp14:editId="0512F487">
            <wp:extent cx="6315075" cy="3342640"/>
            <wp:effectExtent l="0" t="0" r="9525" b="1016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42647">
        <w:rPr>
          <w:noProof/>
          <w:lang w:eastAsia="en-CA"/>
        </w:rPr>
        <w:t xml:space="preserve"> </w:t>
      </w:r>
    </w:p>
    <w:p w14:paraId="48BD0791" w14:textId="77777777" w:rsidR="00EB3EA4" w:rsidRPr="000543D8" w:rsidRDefault="00EB3EA4" w:rsidP="00D4174F">
      <w:pPr>
        <w:pStyle w:val="ListParagraph"/>
        <w:numPr>
          <w:ilvl w:val="0"/>
          <w:numId w:val="13"/>
        </w:numPr>
      </w:pPr>
      <w:r w:rsidRPr="00D4174F">
        <w:rPr>
          <w:rFonts w:ascii="Calibri" w:hAnsi="Calibri" w:cs="Calibri"/>
        </w:rPr>
        <w:t xml:space="preserve">As of </w:t>
      </w:r>
      <w:r w:rsidR="00DA4582">
        <w:rPr>
          <w:rFonts w:ascii="Calibri" w:hAnsi="Calibri" w:cs="Calibri"/>
        </w:rPr>
        <w:t>March</w:t>
      </w:r>
      <w:r w:rsidR="000638BC">
        <w:rPr>
          <w:rFonts w:ascii="Calibri" w:hAnsi="Calibri" w:cs="Calibri"/>
        </w:rPr>
        <w:t xml:space="preserve"> 1, 2023, the OIC has close</w:t>
      </w:r>
      <w:r w:rsidR="000638BC" w:rsidRPr="00657F69">
        <w:rPr>
          <w:rFonts w:ascii="Calibri" w:hAnsi="Calibri" w:cs="Calibri"/>
        </w:rPr>
        <w:t xml:space="preserve">d </w:t>
      </w:r>
      <w:r w:rsidR="00657F69" w:rsidRPr="00657F69">
        <w:rPr>
          <w:rFonts w:ascii="Calibri" w:hAnsi="Calibri" w:cs="Calibri"/>
        </w:rPr>
        <w:t>25</w:t>
      </w:r>
      <w:r w:rsidRPr="00657F69">
        <w:rPr>
          <w:rFonts w:ascii="Calibri" w:hAnsi="Calibri" w:cs="Calibri"/>
        </w:rPr>
        <w:t>% more complaints</w:t>
      </w:r>
      <w:r w:rsidR="007473B0">
        <w:rPr>
          <w:rFonts w:ascii="Calibri" w:hAnsi="Calibri" w:cs="Calibri"/>
        </w:rPr>
        <w:t xml:space="preserve"> compared to same time last </w:t>
      </w:r>
      <w:r w:rsidRPr="00D4174F">
        <w:rPr>
          <w:rFonts w:ascii="Calibri" w:hAnsi="Calibri" w:cs="Calibri"/>
        </w:rPr>
        <w:t>year.</w:t>
      </w:r>
    </w:p>
    <w:p w14:paraId="16D8212B" w14:textId="77777777" w:rsidR="000543D8" w:rsidRPr="0002259C" w:rsidRDefault="000543D8" w:rsidP="000543D8">
      <w:pPr>
        <w:pStyle w:val="ListParagraph"/>
        <w:ind w:left="360"/>
      </w:pPr>
    </w:p>
    <w:p w14:paraId="7C7D19C7" w14:textId="77777777" w:rsidR="0002259C" w:rsidRPr="00D4174F" w:rsidRDefault="0002259C" w:rsidP="0002259C">
      <w:r>
        <w:rPr>
          <w:noProof/>
          <w:lang w:eastAsia="en-CA"/>
        </w:rPr>
        <w:drawing>
          <wp:inline distT="0" distB="0" distL="0" distR="0" wp14:anchorId="433B7F43" wp14:editId="5C8E0B39">
            <wp:extent cx="6343650" cy="3552825"/>
            <wp:effectExtent l="0" t="0" r="0" b="952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652D91B" w14:textId="77777777" w:rsidR="00EB3EA4" w:rsidRPr="007A3666" w:rsidRDefault="005C664A" w:rsidP="00D4174F">
      <w:pPr>
        <w:pStyle w:val="ListParagraph"/>
        <w:ind w:left="0"/>
      </w:pPr>
      <w:r w:rsidRPr="005C664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517A66" wp14:editId="60D17C16">
            <wp:simplePos x="0" y="0"/>
            <wp:positionH relativeFrom="column">
              <wp:posOffset>1066800</wp:posOffset>
            </wp:positionH>
            <wp:positionV relativeFrom="paragraph">
              <wp:posOffset>942975</wp:posOffset>
            </wp:positionV>
            <wp:extent cx="671989" cy="1619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61" cy="16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59C">
        <w:rPr>
          <w:noProof/>
        </w:rPr>
        <w:drawing>
          <wp:inline distT="0" distB="0" distL="0" distR="0" wp14:anchorId="5F923A72" wp14:editId="07D91B2F">
            <wp:extent cx="6105525" cy="49244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5FDDB8" w14:textId="77777777" w:rsidR="00602707" w:rsidRPr="00602707" w:rsidRDefault="00602707" w:rsidP="00602707">
      <w:pPr>
        <w:pStyle w:val="ListParagraph"/>
        <w:ind w:left="360"/>
        <w:rPr>
          <w:rFonts w:ascii="Calibri" w:hAnsi="Calibri" w:cs="Calibri"/>
          <w:color w:val="000000"/>
        </w:rPr>
      </w:pPr>
    </w:p>
    <w:p w14:paraId="5FC98773" w14:textId="77777777" w:rsidR="00EB3EA4" w:rsidRPr="005C664A" w:rsidRDefault="00EB3EA4" w:rsidP="00EB3EA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BC62B1">
        <w:rPr>
          <w:rFonts w:ascii="Calibri" w:hAnsi="Calibri" w:cs="Calibri"/>
          <w:bCs/>
          <w:color w:val="000000"/>
        </w:rPr>
        <w:t xml:space="preserve">Commissioner Maynard’s first priority when she arrived at the OIC was to address the inventory of complaints she inherited, while continuing to investigate new complaints. </w:t>
      </w:r>
    </w:p>
    <w:p w14:paraId="515E3C0A" w14:textId="77777777" w:rsidR="00EB3EA4" w:rsidRPr="005C664A" w:rsidRDefault="00EB3EA4" w:rsidP="00EB3EA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BC62B1">
        <w:rPr>
          <w:rFonts w:ascii="Calibri" w:hAnsi="Calibri" w:cs="Calibri"/>
          <w:bCs/>
          <w:color w:val="000000"/>
        </w:rPr>
        <w:t xml:space="preserve">As of </w:t>
      </w:r>
      <w:r w:rsidR="000638BC">
        <w:rPr>
          <w:rFonts w:ascii="Calibri" w:hAnsi="Calibri" w:cs="Calibri"/>
          <w:bCs/>
          <w:color w:val="000000"/>
        </w:rPr>
        <w:t>March</w:t>
      </w:r>
      <w:r w:rsidRPr="00BC62B1">
        <w:rPr>
          <w:rFonts w:ascii="Calibri" w:hAnsi="Calibri" w:cs="Calibri"/>
          <w:bCs/>
          <w:color w:val="000000"/>
        </w:rPr>
        <w:t xml:space="preserve"> 1, 2023, the OIC has managed to clear </w:t>
      </w:r>
      <w:r w:rsidR="00657F69">
        <w:rPr>
          <w:rFonts w:ascii="Calibri" w:hAnsi="Calibri" w:cs="Calibri"/>
          <w:bCs/>
          <w:color w:val="000000"/>
        </w:rPr>
        <w:t>97</w:t>
      </w:r>
      <w:r w:rsidRPr="00BC62B1">
        <w:rPr>
          <w:rFonts w:ascii="Calibri" w:hAnsi="Calibri" w:cs="Calibri"/>
          <w:bCs/>
          <w:color w:val="000000"/>
        </w:rPr>
        <w:t xml:space="preserve">% of the backlog of approximately 3,500 files that existed at the beginning of the Commissioner’s mandate. </w:t>
      </w:r>
    </w:p>
    <w:p w14:paraId="27322FBD" w14:textId="37DF8C57" w:rsidR="00EB3EA4" w:rsidRDefault="00EB3EA4" w:rsidP="00EB3EA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E585F">
        <w:rPr>
          <w:rFonts w:ascii="Calibri" w:hAnsi="Calibri" w:cs="Calibri"/>
          <w:color w:val="000000"/>
        </w:rPr>
        <w:t xml:space="preserve">The OIC inventory has </w:t>
      </w:r>
      <w:r w:rsidRPr="003E585F">
        <w:rPr>
          <w:rFonts w:ascii="Calibri" w:hAnsi="Calibri" w:cs="Calibri"/>
          <w:bCs/>
          <w:color w:val="000000"/>
        </w:rPr>
        <w:t xml:space="preserve">decreased </w:t>
      </w:r>
      <w:r w:rsidRPr="003E585F">
        <w:rPr>
          <w:rFonts w:ascii="Calibri" w:hAnsi="Calibri" w:cs="Calibri"/>
          <w:color w:val="000000"/>
        </w:rPr>
        <w:t xml:space="preserve">by </w:t>
      </w:r>
      <w:r w:rsidR="002A3AC0">
        <w:rPr>
          <w:rFonts w:ascii="Calibri" w:hAnsi="Calibri" w:cs="Calibri"/>
          <w:color w:val="000000"/>
        </w:rPr>
        <w:t>25</w:t>
      </w:r>
      <w:r w:rsidRPr="003E585F">
        <w:rPr>
          <w:rFonts w:ascii="Calibri" w:hAnsi="Calibri" w:cs="Calibri"/>
          <w:color w:val="000000"/>
        </w:rPr>
        <w:t>%</w:t>
      </w:r>
      <w:r w:rsidR="00DA0BF9">
        <w:rPr>
          <w:rFonts w:ascii="Calibri" w:hAnsi="Calibri" w:cs="Calibri"/>
          <w:color w:val="000000"/>
        </w:rPr>
        <w:t xml:space="preserve"> </w:t>
      </w:r>
      <w:r w:rsidR="006528C8">
        <w:rPr>
          <w:rFonts w:ascii="Calibri" w:hAnsi="Calibri" w:cs="Calibri"/>
          <w:color w:val="000000"/>
        </w:rPr>
        <w:t xml:space="preserve">over the last </w:t>
      </w:r>
      <w:r w:rsidR="001E74D2">
        <w:rPr>
          <w:rFonts w:ascii="Calibri" w:hAnsi="Calibri" w:cs="Calibri"/>
          <w:color w:val="000000"/>
        </w:rPr>
        <w:t>eleven</w:t>
      </w:r>
      <w:r w:rsidR="006528C8">
        <w:rPr>
          <w:rFonts w:ascii="Calibri" w:hAnsi="Calibri" w:cs="Calibri"/>
          <w:color w:val="000000"/>
        </w:rPr>
        <w:t xml:space="preserve"> months. </w:t>
      </w:r>
    </w:p>
    <w:p w14:paraId="4B5E32E9" w14:textId="77777777" w:rsidR="00657F69" w:rsidRDefault="00657F69" w:rsidP="00E42D95">
      <w:pPr>
        <w:rPr>
          <w:rFonts w:ascii="Calibri" w:hAnsi="Calibri" w:cs="Calibri"/>
          <w:b/>
          <w:color w:val="00000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1134"/>
        <w:gridCol w:w="1134"/>
        <w:gridCol w:w="1134"/>
        <w:gridCol w:w="1276"/>
      </w:tblGrid>
      <w:tr w:rsidR="00A15699" w:rsidRPr="00A15699" w14:paraId="1A006ABF" w14:textId="77777777" w:rsidTr="00A15699">
        <w:trPr>
          <w:trHeight w:val="409"/>
        </w:trPr>
        <w:tc>
          <w:tcPr>
            <w:tcW w:w="10060" w:type="dxa"/>
            <w:gridSpan w:val="7"/>
            <w:shd w:val="clear" w:color="auto" w:fill="5B9BD5" w:themeFill="accent1"/>
          </w:tcPr>
          <w:p w14:paraId="77D3F8E5" w14:textId="77777777" w:rsidR="00CC1C46" w:rsidRPr="00A15699" w:rsidRDefault="00CC1C46" w:rsidP="00CC1C46">
            <w:pPr>
              <w:jc w:val="center"/>
              <w:rPr>
                <w:b/>
                <w:bCs/>
                <w:color w:val="FFFFFF" w:themeColor="background1"/>
              </w:rPr>
            </w:pPr>
            <w:r w:rsidRPr="00A15699">
              <w:rPr>
                <w:b/>
                <w:bCs/>
                <w:color w:val="FFFFFF" w:themeColor="background1"/>
              </w:rPr>
              <w:t>Complaints registered during Fiscal Year vs Complaints in the inventory as of March 1, 2023</w:t>
            </w:r>
          </w:p>
        </w:tc>
      </w:tr>
      <w:tr w:rsidR="00CC1C46" w:rsidRPr="0094094A" w14:paraId="0887BAA3" w14:textId="77777777" w:rsidTr="005D2F83">
        <w:trPr>
          <w:trHeight w:val="634"/>
        </w:trPr>
        <w:tc>
          <w:tcPr>
            <w:tcW w:w="2830" w:type="dxa"/>
          </w:tcPr>
          <w:p w14:paraId="1D0BD71D" w14:textId="77777777" w:rsidR="00CC1C46" w:rsidRPr="00CC1C46" w:rsidRDefault="00CC1C46" w:rsidP="005D2F83"/>
        </w:tc>
        <w:tc>
          <w:tcPr>
            <w:tcW w:w="1418" w:type="dxa"/>
          </w:tcPr>
          <w:p w14:paraId="6A483013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Pre-2018*</w:t>
            </w:r>
          </w:p>
        </w:tc>
        <w:tc>
          <w:tcPr>
            <w:tcW w:w="1134" w:type="dxa"/>
          </w:tcPr>
          <w:p w14:paraId="6E69401C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2018-19</w:t>
            </w:r>
          </w:p>
        </w:tc>
        <w:tc>
          <w:tcPr>
            <w:tcW w:w="1134" w:type="dxa"/>
          </w:tcPr>
          <w:p w14:paraId="56CD7200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2019-20</w:t>
            </w:r>
          </w:p>
        </w:tc>
        <w:tc>
          <w:tcPr>
            <w:tcW w:w="1134" w:type="dxa"/>
          </w:tcPr>
          <w:p w14:paraId="229B3F58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2020-21</w:t>
            </w:r>
          </w:p>
        </w:tc>
        <w:tc>
          <w:tcPr>
            <w:tcW w:w="1134" w:type="dxa"/>
          </w:tcPr>
          <w:p w14:paraId="38D9E88A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2021-22</w:t>
            </w:r>
          </w:p>
        </w:tc>
        <w:tc>
          <w:tcPr>
            <w:tcW w:w="1276" w:type="dxa"/>
          </w:tcPr>
          <w:p w14:paraId="1ABABA3F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2022-2023</w:t>
            </w:r>
          </w:p>
        </w:tc>
      </w:tr>
      <w:tr w:rsidR="00CC1C46" w:rsidRPr="0094094A" w14:paraId="63471763" w14:textId="77777777" w:rsidTr="005D2F83">
        <w:trPr>
          <w:trHeight w:val="634"/>
        </w:trPr>
        <w:tc>
          <w:tcPr>
            <w:tcW w:w="2830" w:type="dxa"/>
          </w:tcPr>
          <w:p w14:paraId="5A0FB816" w14:textId="77777777" w:rsidR="00CC1C46" w:rsidRPr="00CC1C46" w:rsidRDefault="00CC1C46" w:rsidP="00CC1C46">
            <w:pPr>
              <w:rPr>
                <w:b/>
              </w:rPr>
            </w:pPr>
            <w:r w:rsidRPr="00CC1C46">
              <w:rPr>
                <w:b/>
              </w:rPr>
              <w:t>Complaints registered during Fiscal Year</w:t>
            </w:r>
          </w:p>
        </w:tc>
        <w:tc>
          <w:tcPr>
            <w:tcW w:w="1418" w:type="dxa"/>
          </w:tcPr>
          <w:p w14:paraId="2815F8AA" w14:textId="77777777" w:rsidR="00CC1C46" w:rsidRPr="00CC1C46" w:rsidRDefault="00CC1C46" w:rsidP="005D2F83">
            <w:r w:rsidRPr="00CC1C46">
              <w:t>3500</w:t>
            </w:r>
          </w:p>
        </w:tc>
        <w:tc>
          <w:tcPr>
            <w:tcW w:w="1134" w:type="dxa"/>
          </w:tcPr>
          <w:p w14:paraId="6DF14EF9" w14:textId="77777777" w:rsidR="00CC1C46" w:rsidRPr="00CC1C46" w:rsidRDefault="00CC1C46" w:rsidP="005D2F83">
            <w:r w:rsidRPr="00CC1C46">
              <w:t>2467</w:t>
            </w:r>
          </w:p>
        </w:tc>
        <w:tc>
          <w:tcPr>
            <w:tcW w:w="1134" w:type="dxa"/>
          </w:tcPr>
          <w:p w14:paraId="5D6F8FA8" w14:textId="77777777" w:rsidR="00CC1C46" w:rsidRPr="00CC1C46" w:rsidRDefault="00CC1C46" w:rsidP="005D2F83">
            <w:r w:rsidRPr="00CC1C46">
              <w:t>6172</w:t>
            </w:r>
          </w:p>
        </w:tc>
        <w:tc>
          <w:tcPr>
            <w:tcW w:w="1134" w:type="dxa"/>
          </w:tcPr>
          <w:p w14:paraId="1BE6FAC6" w14:textId="77777777" w:rsidR="00CC1C46" w:rsidRPr="00CC1C46" w:rsidRDefault="00CC1C46" w:rsidP="005D2F83">
            <w:r w:rsidRPr="00CC1C46">
              <w:t>4068</w:t>
            </w:r>
          </w:p>
        </w:tc>
        <w:tc>
          <w:tcPr>
            <w:tcW w:w="1134" w:type="dxa"/>
          </w:tcPr>
          <w:p w14:paraId="072F3023" w14:textId="77777777" w:rsidR="00CC1C46" w:rsidRPr="00CC1C46" w:rsidRDefault="00CC1C46" w:rsidP="005D2F83">
            <w:r w:rsidRPr="00CC1C46">
              <w:t>6945</w:t>
            </w:r>
          </w:p>
        </w:tc>
        <w:tc>
          <w:tcPr>
            <w:tcW w:w="1276" w:type="dxa"/>
          </w:tcPr>
          <w:p w14:paraId="385656A7" w14:textId="77777777" w:rsidR="00CC1C46" w:rsidRPr="00CC1C46" w:rsidRDefault="00CC1C46" w:rsidP="005D2F83">
            <w:r w:rsidRPr="00CC1C46">
              <w:t>6547</w:t>
            </w:r>
          </w:p>
        </w:tc>
      </w:tr>
      <w:tr w:rsidR="00CC1C46" w:rsidRPr="0094094A" w14:paraId="2E3B5D77" w14:textId="77777777" w:rsidTr="00A01EA2">
        <w:trPr>
          <w:trHeight w:val="674"/>
        </w:trPr>
        <w:tc>
          <w:tcPr>
            <w:tcW w:w="2830" w:type="dxa"/>
          </w:tcPr>
          <w:p w14:paraId="39591F2F" w14:textId="77777777" w:rsidR="00CC1C46" w:rsidRPr="00CC1C46" w:rsidRDefault="00CC1C46" w:rsidP="005D2F83">
            <w:pPr>
              <w:rPr>
                <w:b/>
              </w:rPr>
            </w:pPr>
            <w:r w:rsidRPr="00CC1C46">
              <w:rPr>
                <w:b/>
              </w:rPr>
              <w:t>Complaints in the inventory as of March 1, 2023</w:t>
            </w:r>
          </w:p>
        </w:tc>
        <w:tc>
          <w:tcPr>
            <w:tcW w:w="1418" w:type="dxa"/>
          </w:tcPr>
          <w:p w14:paraId="2B0E2F55" w14:textId="77777777" w:rsidR="00CC1C46" w:rsidRPr="00CC1C46" w:rsidRDefault="00CC1C46" w:rsidP="005D2F83">
            <w:r w:rsidRPr="00CC1C46">
              <w:t>136</w:t>
            </w:r>
          </w:p>
        </w:tc>
        <w:tc>
          <w:tcPr>
            <w:tcW w:w="1134" w:type="dxa"/>
          </w:tcPr>
          <w:p w14:paraId="5A3AA0E0" w14:textId="77777777" w:rsidR="00CC1C46" w:rsidRPr="00CC1C46" w:rsidRDefault="00CC1C46" w:rsidP="005D2F83">
            <w:r w:rsidRPr="00CC1C46">
              <w:t>114</w:t>
            </w:r>
          </w:p>
        </w:tc>
        <w:tc>
          <w:tcPr>
            <w:tcW w:w="1134" w:type="dxa"/>
          </w:tcPr>
          <w:p w14:paraId="163A98C7" w14:textId="77777777" w:rsidR="00CC1C46" w:rsidRPr="00CC1C46" w:rsidRDefault="00CC1C46" w:rsidP="005D2F83">
            <w:r w:rsidRPr="00CC1C46">
              <w:t>197</w:t>
            </w:r>
          </w:p>
        </w:tc>
        <w:tc>
          <w:tcPr>
            <w:tcW w:w="1134" w:type="dxa"/>
          </w:tcPr>
          <w:p w14:paraId="6103D73E" w14:textId="77777777" w:rsidR="00CC1C46" w:rsidRPr="00CC1C46" w:rsidRDefault="00CC1C46" w:rsidP="005D2F83">
            <w:r w:rsidRPr="00CC1C46">
              <w:t>261</w:t>
            </w:r>
          </w:p>
        </w:tc>
        <w:tc>
          <w:tcPr>
            <w:tcW w:w="1134" w:type="dxa"/>
          </w:tcPr>
          <w:p w14:paraId="6B655444" w14:textId="77777777" w:rsidR="00CC1C46" w:rsidRPr="00CC1C46" w:rsidRDefault="00CC1C46" w:rsidP="005D2F83">
            <w:r w:rsidRPr="00CC1C46">
              <w:t>725</w:t>
            </w:r>
          </w:p>
        </w:tc>
        <w:tc>
          <w:tcPr>
            <w:tcW w:w="1276" w:type="dxa"/>
          </w:tcPr>
          <w:p w14:paraId="295EA060" w14:textId="77777777" w:rsidR="00CC1C46" w:rsidRPr="00CC1C46" w:rsidRDefault="00CC1C46" w:rsidP="005D2F83">
            <w:r w:rsidRPr="00CC1C46">
              <w:t>2280</w:t>
            </w:r>
          </w:p>
        </w:tc>
      </w:tr>
      <w:tr w:rsidR="00CC1C46" w:rsidRPr="0094094A" w14:paraId="042C9678" w14:textId="77777777" w:rsidTr="00CC1C46">
        <w:trPr>
          <w:trHeight w:val="432"/>
        </w:trPr>
        <w:tc>
          <w:tcPr>
            <w:tcW w:w="10060" w:type="dxa"/>
            <w:gridSpan w:val="7"/>
          </w:tcPr>
          <w:p w14:paraId="367D68DC" w14:textId="77777777" w:rsidR="00CC1C46" w:rsidRPr="00CC1C46" w:rsidRDefault="00CC1C46" w:rsidP="005D2F83">
            <w:pPr>
              <w:rPr>
                <w:i/>
              </w:rPr>
            </w:pPr>
            <w:r w:rsidRPr="00CC1C46">
              <w:rPr>
                <w:i/>
              </w:rPr>
              <w:t>*Inventory of complaints inherited by Commissioner Maynard at the beginning of her mandate.</w:t>
            </w:r>
          </w:p>
        </w:tc>
      </w:tr>
    </w:tbl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007"/>
        <w:gridCol w:w="855"/>
        <w:gridCol w:w="992"/>
        <w:gridCol w:w="1633"/>
      </w:tblGrid>
      <w:tr w:rsidR="009D0A65" w:rsidRPr="009B7140" w14:paraId="11C7CB7D" w14:textId="77777777" w:rsidTr="00A15699">
        <w:trPr>
          <w:trHeight w:val="21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DC10ACB" w14:textId="77777777" w:rsidR="00EB3EA4" w:rsidRPr="009B7140" w:rsidRDefault="00E42D95" w:rsidP="000638BC">
            <w:pPr>
              <w:spacing w:after="0" w:line="252" w:lineRule="auto"/>
              <w:jc w:val="center"/>
              <w:rPr>
                <w:color w:val="000000"/>
              </w:rPr>
            </w:pPr>
            <w:r>
              <w:lastRenderedPageBreak/>
              <w:br w:type="column"/>
            </w:r>
            <w:r w:rsidR="00EB3EA4" w:rsidRPr="00A15699">
              <w:rPr>
                <w:b/>
                <w:bCs/>
                <w:color w:val="FFFFFF" w:themeColor="background1"/>
              </w:rPr>
              <w:t>Orders</w:t>
            </w:r>
            <w:r w:rsidR="000638BC" w:rsidRPr="00A15699">
              <w:rPr>
                <w:b/>
                <w:bCs/>
                <w:color w:val="FFFFFF" w:themeColor="background1"/>
              </w:rPr>
              <w:t xml:space="preserve"> issued since June 2019 (as of March</w:t>
            </w:r>
            <w:r w:rsidR="00EB3EA4" w:rsidRPr="00A15699">
              <w:rPr>
                <w:b/>
                <w:bCs/>
                <w:color w:val="FFFFFF" w:themeColor="background1"/>
              </w:rPr>
              <w:t xml:space="preserve"> 1, 2023)</w:t>
            </w:r>
          </w:p>
        </w:tc>
      </w:tr>
      <w:tr w:rsidR="009D0A65" w:rsidRPr="00A3051D" w14:paraId="1134F2A4" w14:textId="77777777" w:rsidTr="00AE7C4A">
        <w:trPr>
          <w:trHeight w:val="844"/>
        </w:trPr>
        <w:tc>
          <w:tcPr>
            <w:tcW w:w="5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647A9" w14:textId="77777777" w:rsidR="00EB3EA4" w:rsidRPr="00A3051D" w:rsidRDefault="00EB3EA4" w:rsidP="00D467CA">
            <w:pPr>
              <w:spacing w:line="252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802A7" w14:textId="77777777" w:rsidR="00EB3EA4" w:rsidRPr="00A3051D" w:rsidRDefault="00EB3EA4" w:rsidP="00D467CA">
            <w:pPr>
              <w:spacing w:line="252" w:lineRule="auto"/>
              <w:jc w:val="both"/>
              <w:rPr>
                <w:b/>
                <w:color w:val="000000"/>
                <w:lang w:val="fr-CA"/>
              </w:rPr>
            </w:pPr>
            <w:r w:rsidRPr="00A3051D">
              <w:rPr>
                <w:b/>
                <w:color w:val="000000"/>
                <w:lang w:val="fr-CA"/>
              </w:rPr>
              <w:t>2019-2020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A757D" w14:textId="77777777" w:rsidR="00EB3EA4" w:rsidRPr="00A3051D" w:rsidRDefault="00EB3EA4" w:rsidP="00D467CA">
            <w:pPr>
              <w:spacing w:line="252" w:lineRule="auto"/>
              <w:jc w:val="both"/>
              <w:rPr>
                <w:b/>
                <w:color w:val="000000"/>
                <w:lang w:val="fr-CA"/>
              </w:rPr>
            </w:pPr>
          </w:p>
          <w:p w14:paraId="2ADA3EC9" w14:textId="77777777" w:rsidR="00EB3EA4" w:rsidRPr="00A3051D" w:rsidRDefault="00EB3EA4" w:rsidP="00D467CA">
            <w:pPr>
              <w:spacing w:line="252" w:lineRule="auto"/>
              <w:jc w:val="both"/>
              <w:rPr>
                <w:b/>
                <w:color w:val="000000"/>
                <w:lang w:val="fr-CA"/>
              </w:rPr>
            </w:pPr>
            <w:r w:rsidRPr="00A3051D">
              <w:rPr>
                <w:b/>
                <w:color w:val="000000"/>
                <w:lang w:val="fr-CA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780F6" w14:textId="77777777" w:rsidR="00EB3EA4" w:rsidRPr="00A3051D" w:rsidRDefault="00EB3EA4" w:rsidP="00D467CA">
            <w:pPr>
              <w:spacing w:line="252" w:lineRule="auto"/>
              <w:jc w:val="both"/>
              <w:rPr>
                <w:b/>
                <w:color w:val="000000"/>
                <w:lang w:val="fr-CA"/>
              </w:rPr>
            </w:pPr>
            <w:r w:rsidRPr="00A3051D">
              <w:rPr>
                <w:b/>
                <w:color w:val="000000"/>
                <w:lang w:val="fr-CA"/>
              </w:rPr>
              <w:t>2021-2022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0BF9" w14:textId="77777777" w:rsidR="00EB3EA4" w:rsidRPr="00A3051D" w:rsidRDefault="00EB3EA4" w:rsidP="00D467CA">
            <w:pPr>
              <w:spacing w:after="0" w:line="252" w:lineRule="auto"/>
              <w:jc w:val="both"/>
              <w:rPr>
                <w:b/>
                <w:color w:val="000000"/>
                <w:lang w:val="fr-CA"/>
              </w:rPr>
            </w:pPr>
          </w:p>
          <w:p w14:paraId="5CD7288C" w14:textId="77777777" w:rsidR="00EB3EA4" w:rsidRPr="00A3051D" w:rsidRDefault="00EB3EA4" w:rsidP="00D467CA">
            <w:pPr>
              <w:spacing w:after="0" w:line="252" w:lineRule="auto"/>
              <w:jc w:val="both"/>
              <w:rPr>
                <w:b/>
                <w:color w:val="000000"/>
                <w:lang w:val="fr-CA"/>
              </w:rPr>
            </w:pPr>
            <w:r w:rsidRPr="00A3051D">
              <w:rPr>
                <w:b/>
                <w:color w:val="000000"/>
                <w:lang w:val="fr-CA"/>
              </w:rPr>
              <w:t xml:space="preserve">2022-2023 </w:t>
            </w:r>
          </w:p>
          <w:p w14:paraId="453B5B93" w14:textId="77777777" w:rsidR="00EB3EA4" w:rsidRPr="00A3051D" w:rsidRDefault="00EB3EA4" w:rsidP="00D467CA">
            <w:pPr>
              <w:spacing w:after="0" w:line="252" w:lineRule="auto"/>
              <w:jc w:val="both"/>
              <w:rPr>
                <w:b/>
                <w:color w:val="000000"/>
                <w:lang w:val="fr-CA"/>
              </w:rPr>
            </w:pPr>
            <w:r w:rsidRPr="00A3051D">
              <w:rPr>
                <w:b/>
                <w:color w:val="000000"/>
                <w:lang w:val="fr-CA"/>
              </w:rPr>
              <w:t>(Since April 1st, 2022)</w:t>
            </w:r>
          </w:p>
        </w:tc>
      </w:tr>
      <w:tr w:rsidR="009D0A65" w:rsidRPr="008928BE" w14:paraId="089FCE9E" w14:textId="77777777" w:rsidTr="00AE7C4A">
        <w:trPr>
          <w:trHeight w:val="1348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FA11DA1" w14:textId="3A3E51A1" w:rsidR="00EB3EA4" w:rsidRDefault="00EB3EA4" w:rsidP="00C7148E">
            <w:pPr>
              <w:spacing w:line="252" w:lineRule="auto"/>
              <w:jc w:val="center"/>
              <w:rPr>
                <w:b/>
                <w:color w:val="000000"/>
              </w:rPr>
            </w:pPr>
            <w:r w:rsidRPr="00386049">
              <w:rPr>
                <w:b/>
                <w:color w:val="000000"/>
              </w:rPr>
              <w:t>Investigations on refusal complaints</w:t>
            </w:r>
          </w:p>
          <w:p w14:paraId="374D480F" w14:textId="50191990" w:rsidR="001A7CF9" w:rsidRPr="001A7CF9" w:rsidRDefault="00386049" w:rsidP="00AE7C4A">
            <w:pPr>
              <w:spacing w:line="252" w:lineRule="auto"/>
              <w:jc w:val="center"/>
              <w:rPr>
                <w:b/>
                <w:i/>
                <w:color w:val="000000"/>
              </w:rPr>
            </w:pPr>
            <w:r w:rsidRPr="001A7CF9">
              <w:rPr>
                <w:b/>
                <w:i/>
                <w:color w:val="000000"/>
              </w:rPr>
              <w:t xml:space="preserve">(relate to </w:t>
            </w:r>
            <w:r>
              <w:rPr>
                <w:b/>
                <w:i/>
                <w:color w:val="000000"/>
              </w:rPr>
              <w:t>institutions applying exemptions or exclusions under the Act to refuse disclosure of information</w:t>
            </w:r>
            <w:r w:rsidRPr="001A7CF9">
              <w:rPr>
                <w:b/>
                <w:i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2300E" w14:textId="77777777" w:rsidR="00EB3EA4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634C" w14:textId="77777777" w:rsidR="00EB3EA4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2B02AF5B" w14:textId="77777777" w:rsidR="00AE7C4A" w:rsidRDefault="00AE7C4A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140D5539" w14:textId="77777777" w:rsidR="00AE7C4A" w:rsidRDefault="00AE7C4A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40B84369" w14:textId="0077EEB5" w:rsidR="00EB3EA4" w:rsidRDefault="00AE7C4A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EE33D" w14:textId="77777777" w:rsidR="00EB3EA4" w:rsidRPr="00CD762E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 w:rsidRPr="00CD762E">
              <w:rPr>
                <w:color w:val="000000"/>
                <w:lang w:val="fr-C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A209" w14:textId="77777777" w:rsidR="00EB3EA4" w:rsidRPr="00CD762E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7E34E4F2" w14:textId="77777777" w:rsidR="00EB3EA4" w:rsidRPr="00CD762E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151945A1" w14:textId="77777777" w:rsidR="00AE7C4A" w:rsidRDefault="00AE7C4A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4E400229" w14:textId="0D97D6D4" w:rsidR="00EB3EA4" w:rsidRPr="00CD762E" w:rsidRDefault="00CD762E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 w:rsidRPr="00CD762E">
              <w:rPr>
                <w:color w:val="000000"/>
                <w:lang w:val="fr-CA"/>
              </w:rPr>
              <w:t>26</w:t>
            </w:r>
          </w:p>
        </w:tc>
      </w:tr>
      <w:tr w:rsidR="009D0A65" w:rsidRPr="008928BE" w14:paraId="0CA3A0D5" w14:textId="77777777" w:rsidTr="00AE7C4A">
        <w:trPr>
          <w:trHeight w:val="1401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F9A96AE" w14:textId="4FC98DCA" w:rsidR="00EB3EA4" w:rsidRDefault="00EB3EA4" w:rsidP="001A7CF9">
            <w:pPr>
              <w:spacing w:line="252" w:lineRule="auto"/>
              <w:jc w:val="center"/>
              <w:rPr>
                <w:b/>
                <w:color w:val="000000"/>
              </w:rPr>
            </w:pPr>
            <w:r w:rsidRPr="00386049">
              <w:rPr>
                <w:b/>
                <w:color w:val="000000"/>
              </w:rPr>
              <w:t>Investigations on administrative complai</w:t>
            </w:r>
            <w:r w:rsidR="00AE7C4A">
              <w:rPr>
                <w:b/>
                <w:color w:val="000000"/>
              </w:rPr>
              <w:t>n</w:t>
            </w:r>
            <w:r w:rsidRPr="00386049">
              <w:rPr>
                <w:b/>
                <w:color w:val="000000"/>
              </w:rPr>
              <w:t>ts</w:t>
            </w:r>
          </w:p>
          <w:p w14:paraId="75C63034" w14:textId="0AC8A102" w:rsidR="001A7CF9" w:rsidRPr="001A7CF9" w:rsidRDefault="008771CB" w:rsidP="00AE7C4A">
            <w:pPr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386049" w:rsidRPr="001A7CF9">
              <w:rPr>
                <w:b/>
                <w:i/>
                <w:color w:val="000000"/>
              </w:rPr>
              <w:t xml:space="preserve">relate to </w:t>
            </w:r>
            <w:r w:rsidR="00386049">
              <w:rPr>
                <w:b/>
                <w:i/>
                <w:color w:val="000000"/>
              </w:rPr>
              <w:t xml:space="preserve">institutions </w:t>
            </w:r>
            <w:r w:rsidR="00386049" w:rsidRPr="001A7CF9">
              <w:rPr>
                <w:b/>
                <w:i/>
                <w:color w:val="000000"/>
              </w:rPr>
              <w:t xml:space="preserve">extending or delaying </w:t>
            </w:r>
            <w:r w:rsidR="00AE7C4A">
              <w:rPr>
                <w:b/>
                <w:i/>
                <w:color w:val="000000"/>
              </w:rPr>
              <w:t>t</w:t>
            </w:r>
            <w:r w:rsidR="00386049" w:rsidRPr="001A7CF9">
              <w:rPr>
                <w:b/>
                <w:i/>
                <w:color w:val="000000"/>
              </w:rPr>
              <w:t>imelines for responses to requesters)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42C8E" w14:textId="77777777" w:rsidR="00EB3EA4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328F" w14:textId="77777777" w:rsidR="00EB3EA4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77566B9F" w14:textId="77777777" w:rsidR="001A7CF9" w:rsidRDefault="001A7CF9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0377EDC7" w14:textId="77777777" w:rsidR="001A7CF9" w:rsidRDefault="001A7CF9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7396C59F" w14:textId="7177294A" w:rsidR="00EB3EA4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84FE8" w14:textId="55BC806A" w:rsidR="00EB3EA4" w:rsidRPr="00CD762E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 w:rsidRPr="00CD762E">
              <w:rPr>
                <w:color w:val="000000"/>
                <w:lang w:val="fr-CA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6DE4" w14:textId="77777777" w:rsidR="00EB3EA4" w:rsidRPr="00CD762E" w:rsidRDefault="00EB3EA4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1D2B914B" w14:textId="77777777" w:rsidR="001A7CF9" w:rsidRDefault="001A7CF9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31B9388C" w14:textId="77777777" w:rsidR="00AE7C4A" w:rsidRDefault="00AE7C4A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</w:p>
          <w:p w14:paraId="5138D72C" w14:textId="1C70E2CB" w:rsidR="00EB3EA4" w:rsidRPr="00CD762E" w:rsidRDefault="00CD762E" w:rsidP="00AE7C4A">
            <w:pPr>
              <w:spacing w:line="252" w:lineRule="auto"/>
              <w:jc w:val="center"/>
              <w:rPr>
                <w:color w:val="000000"/>
                <w:lang w:val="fr-CA"/>
              </w:rPr>
            </w:pPr>
            <w:r w:rsidRPr="00CD762E">
              <w:rPr>
                <w:color w:val="000000"/>
                <w:lang w:val="fr-CA"/>
              </w:rPr>
              <w:t>139</w:t>
            </w:r>
          </w:p>
        </w:tc>
      </w:tr>
    </w:tbl>
    <w:p w14:paraId="7C5DC9CA" w14:textId="3624CBAF" w:rsidR="00EB3EA4" w:rsidRPr="003E585F" w:rsidRDefault="00EB3EA4" w:rsidP="00D4174F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szCs w:val="22"/>
          <w:lang w:eastAsia="en-US"/>
        </w:rPr>
      </w:pPr>
      <w:r w:rsidRPr="003E585F">
        <w:rPr>
          <w:rFonts w:asciiTheme="minorHAnsi" w:eastAsiaTheme="minorHAnsi" w:hAnsiTheme="minorHAnsi" w:cstheme="minorHAnsi"/>
          <w:szCs w:val="22"/>
          <w:lang w:eastAsia="en-US"/>
        </w:rPr>
        <w:t>Since the coming into force of C-58</w:t>
      </w:r>
      <w:r w:rsidR="00AA4173">
        <w:rPr>
          <w:rFonts w:asciiTheme="minorHAnsi" w:eastAsiaTheme="minorHAnsi" w:hAnsiTheme="minorHAnsi" w:cstheme="minorHAnsi"/>
          <w:szCs w:val="22"/>
          <w:lang w:eastAsia="en-US"/>
        </w:rPr>
        <w:t xml:space="preserve"> in June 2019</w:t>
      </w:r>
      <w:r w:rsidR="00DA0BF9">
        <w:rPr>
          <w:rFonts w:asciiTheme="minorHAnsi" w:eastAsiaTheme="minorHAnsi" w:hAnsiTheme="minorHAnsi" w:cstheme="minorHAnsi"/>
          <w:szCs w:val="22"/>
          <w:lang w:eastAsia="en-US"/>
        </w:rPr>
        <w:t>,</w:t>
      </w:r>
      <w:r w:rsidR="008A15D3">
        <w:rPr>
          <w:rFonts w:asciiTheme="minorHAnsi" w:eastAsiaTheme="minorHAnsi" w:hAnsiTheme="minorHAnsi" w:cstheme="minorHAnsi"/>
          <w:szCs w:val="22"/>
          <w:lang w:eastAsia="en-US"/>
        </w:rPr>
        <w:t xml:space="preserve"> t</w:t>
      </w:r>
      <w:r w:rsidR="000638BC">
        <w:rPr>
          <w:rFonts w:asciiTheme="minorHAnsi" w:eastAsiaTheme="minorHAnsi" w:hAnsiTheme="minorHAnsi" w:cstheme="minorHAnsi"/>
          <w:szCs w:val="22"/>
          <w:lang w:eastAsia="en-US"/>
        </w:rPr>
        <w:t>he Commissioner has made</w:t>
      </w:r>
      <w:r w:rsidR="00CD762E">
        <w:rPr>
          <w:rFonts w:asciiTheme="minorHAnsi" w:eastAsiaTheme="minorHAnsi" w:hAnsiTheme="minorHAnsi" w:cstheme="minorHAnsi"/>
          <w:szCs w:val="22"/>
          <w:lang w:eastAsia="en-US"/>
        </w:rPr>
        <w:t xml:space="preserve"> 194</w:t>
      </w:r>
      <w:r w:rsidR="00D4174F">
        <w:rPr>
          <w:rFonts w:asciiTheme="minorHAnsi" w:eastAsiaTheme="minorHAnsi" w:hAnsiTheme="minorHAnsi" w:cstheme="minorHAnsi"/>
          <w:szCs w:val="22"/>
          <w:lang w:eastAsia="en-US"/>
        </w:rPr>
        <w:t> </w:t>
      </w:r>
      <w:r w:rsidRPr="003E585F">
        <w:rPr>
          <w:rFonts w:asciiTheme="minorHAnsi" w:eastAsiaTheme="minorHAnsi" w:hAnsiTheme="minorHAnsi" w:cstheme="minorHAnsi"/>
          <w:szCs w:val="22"/>
          <w:lang w:eastAsia="en-US"/>
        </w:rPr>
        <w:t xml:space="preserve">orders. </w:t>
      </w:r>
    </w:p>
    <w:p w14:paraId="3513565A" w14:textId="77777777" w:rsidR="00EB3EA4" w:rsidRPr="003E585F" w:rsidRDefault="008A15D3" w:rsidP="00D4174F">
      <w:pPr>
        <w:pStyle w:val="NormalWeb"/>
        <w:numPr>
          <w:ilvl w:val="0"/>
          <w:numId w:val="12"/>
        </w:numPr>
        <w:spacing w:before="0" w:beforeAutospacing="0" w:after="173" w:afterAutospacing="0"/>
        <w:ind w:left="360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The Commissioner has made most of </w:t>
      </w:r>
      <w:r w:rsidRPr="00CD762E">
        <w:rPr>
          <w:rFonts w:asciiTheme="minorHAnsi" w:eastAsiaTheme="minorHAnsi" w:hAnsiTheme="minorHAnsi" w:cstheme="minorHAnsi"/>
          <w:szCs w:val="22"/>
          <w:lang w:eastAsia="en-US"/>
        </w:rPr>
        <w:t xml:space="preserve">these orders </w:t>
      </w:r>
      <w:r w:rsidR="000638BC" w:rsidRPr="00CD762E">
        <w:rPr>
          <w:rFonts w:asciiTheme="minorHAnsi" w:eastAsiaTheme="minorHAnsi" w:hAnsiTheme="minorHAnsi" w:cstheme="minorHAnsi"/>
          <w:szCs w:val="22"/>
          <w:lang w:eastAsia="en-US"/>
        </w:rPr>
        <w:t>(</w:t>
      </w:r>
      <w:r w:rsidR="00CD762E" w:rsidRPr="00CD762E">
        <w:rPr>
          <w:rFonts w:asciiTheme="minorHAnsi" w:eastAsiaTheme="minorHAnsi" w:hAnsiTheme="minorHAnsi" w:cstheme="minorHAnsi"/>
          <w:szCs w:val="22"/>
          <w:lang w:eastAsia="en-US"/>
        </w:rPr>
        <w:t>85</w:t>
      </w:r>
      <w:r w:rsidR="00EB3EA4" w:rsidRPr="00CD762E">
        <w:rPr>
          <w:rFonts w:asciiTheme="minorHAnsi" w:eastAsiaTheme="minorHAnsi" w:hAnsiTheme="minorHAnsi" w:cstheme="minorHAnsi"/>
          <w:szCs w:val="22"/>
          <w:lang w:eastAsia="en-US"/>
        </w:rPr>
        <w:t>%) during</w:t>
      </w:r>
      <w:r w:rsidR="00EB3EA4" w:rsidRPr="003E585F">
        <w:rPr>
          <w:rFonts w:asciiTheme="minorHAnsi" w:eastAsiaTheme="minorHAnsi" w:hAnsiTheme="minorHAnsi" w:cstheme="minorHAnsi"/>
          <w:szCs w:val="22"/>
          <w:lang w:eastAsia="en-US"/>
        </w:rPr>
        <w:t xml:space="preserve"> the current fiscal year.</w:t>
      </w:r>
    </w:p>
    <w:tbl>
      <w:tblPr>
        <w:tblW w:w="9639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153"/>
        <w:gridCol w:w="1293"/>
        <w:gridCol w:w="966"/>
        <w:gridCol w:w="1494"/>
        <w:gridCol w:w="2636"/>
      </w:tblGrid>
      <w:tr w:rsidR="00364B25" w:rsidRPr="00364B25" w14:paraId="7942105C" w14:textId="77777777" w:rsidTr="00A15699">
        <w:trPr>
          <w:trHeight w:val="345"/>
          <w:tblHeader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523CB7A" w14:textId="79ACC136" w:rsidR="00364B25" w:rsidRPr="00364B25" w:rsidRDefault="00A3051D" w:rsidP="00F061B8">
            <w:pPr>
              <w:spacing w:after="0" w:line="252" w:lineRule="auto"/>
              <w:jc w:val="center"/>
              <w:rPr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color w:val="000000"/>
              </w:rPr>
              <w:br w:type="column"/>
            </w:r>
            <w:r w:rsidR="00364B25" w:rsidRPr="00A15699">
              <w:rPr>
                <w:b/>
                <w:bCs/>
                <w:color w:val="FFFFFF" w:themeColor="background1"/>
                <w:lang w:val="en-US"/>
              </w:rPr>
              <w:t>Outcomes of applications to decline to act on an access request </w:t>
            </w:r>
            <w:r w:rsidR="00C7148E" w:rsidRPr="00A15699">
              <w:rPr>
                <w:b/>
                <w:bCs/>
                <w:color w:val="FFFFFF" w:themeColor="background1"/>
                <w:lang w:val="en-US"/>
              </w:rPr>
              <w:t>(</w:t>
            </w:r>
            <w:r w:rsidR="00675B1C" w:rsidRPr="00A15699">
              <w:rPr>
                <w:b/>
                <w:bCs/>
                <w:color w:val="FFFFFF" w:themeColor="background1"/>
                <w:lang w:val="en-US"/>
              </w:rPr>
              <w:t>June 2019 to </w:t>
            </w:r>
            <w:r w:rsidR="000638BC" w:rsidRPr="00A15699">
              <w:rPr>
                <w:b/>
                <w:bCs/>
                <w:color w:val="FFFFFF" w:themeColor="background1"/>
                <w:lang w:val="en-US"/>
              </w:rPr>
              <w:t xml:space="preserve">March </w:t>
            </w:r>
            <w:r w:rsidR="00675B1C" w:rsidRPr="00A15699">
              <w:rPr>
                <w:b/>
                <w:bCs/>
                <w:color w:val="FFFFFF" w:themeColor="background1"/>
                <w:lang w:val="en-US"/>
              </w:rPr>
              <w:t>2023</w:t>
            </w:r>
            <w:r w:rsidR="00C7148E" w:rsidRPr="00A15699">
              <w:rPr>
                <w:b/>
                <w:bCs/>
                <w:color w:val="FFFFFF" w:themeColor="background1"/>
                <w:lang w:val="en-US"/>
              </w:rPr>
              <w:t>)</w:t>
            </w:r>
          </w:p>
        </w:tc>
      </w:tr>
      <w:tr w:rsidR="00AA4173" w14:paraId="490594A0" w14:textId="77777777" w:rsidTr="00F061B8">
        <w:trPr>
          <w:trHeight w:val="517"/>
          <w:tblHeader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AA22A" w14:textId="77777777" w:rsidR="0083601E" w:rsidRDefault="0083601E">
            <w:pPr>
              <w:spacing w:line="252" w:lineRule="auto"/>
              <w:rPr>
                <w:color w:val="101921"/>
              </w:rPr>
            </w:pPr>
            <w:r>
              <w:rPr>
                <w:b/>
                <w:bCs/>
                <w:color w:val="101921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C1221" w14:textId="77777777" w:rsidR="0083601E" w:rsidRDefault="0083601E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Applications received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052FB" w14:textId="77777777" w:rsidR="0083601E" w:rsidRDefault="0083601E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Applications withdrawn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C3C99" w14:textId="77777777" w:rsidR="0083601E" w:rsidRDefault="0083601E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granted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DBC7C" w14:textId="77777777" w:rsidR="0083601E" w:rsidRDefault="0083601E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Permission denied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4A11C" w14:textId="77777777" w:rsidR="0083601E" w:rsidRDefault="0083601E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Applications carried over to the next fiscal year</w:t>
            </w:r>
          </w:p>
        </w:tc>
      </w:tr>
      <w:tr w:rsidR="00AA4173" w14:paraId="7BAA0ABB" w14:textId="77777777" w:rsidTr="00F061B8">
        <w:trPr>
          <w:trHeight w:val="2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395B7" w14:textId="77777777" w:rsidR="0083601E" w:rsidRDefault="0083601E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2019–2020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37448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0D017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BC557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E8348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F317A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1</w:t>
            </w:r>
          </w:p>
        </w:tc>
      </w:tr>
      <w:tr w:rsidR="00AA4173" w14:paraId="0C838C4A" w14:textId="77777777" w:rsidTr="00F061B8">
        <w:trPr>
          <w:trHeight w:val="2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A99F9" w14:textId="77777777" w:rsidR="0083601E" w:rsidRDefault="0083601E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2020–2021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1D0FB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AF9C3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C79BE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747F0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F9AD4" w14:textId="77777777" w:rsidR="0083601E" w:rsidRPr="00912E28" w:rsidRDefault="0083601E" w:rsidP="00C7148E">
            <w:pPr>
              <w:spacing w:line="252" w:lineRule="auto"/>
              <w:jc w:val="center"/>
            </w:pPr>
            <w:r w:rsidRPr="00912E28">
              <w:t>1</w:t>
            </w:r>
          </w:p>
        </w:tc>
      </w:tr>
      <w:tr w:rsidR="00AA4173" w14:paraId="18327010" w14:textId="77777777" w:rsidTr="00F061B8">
        <w:trPr>
          <w:trHeight w:val="24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99B1F" w14:textId="77777777" w:rsidR="0083601E" w:rsidRDefault="0083601E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2021–2022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0BC7E" w14:textId="77777777" w:rsidR="0083601E" w:rsidRPr="005D194D" w:rsidRDefault="0083601E" w:rsidP="00C7148E">
            <w:pPr>
              <w:spacing w:line="252" w:lineRule="auto"/>
              <w:jc w:val="center"/>
            </w:pPr>
            <w:r w:rsidRPr="005D194D"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C0B82" w14:textId="77777777" w:rsidR="0083601E" w:rsidRPr="005D194D" w:rsidRDefault="0083601E" w:rsidP="00C7148E">
            <w:pPr>
              <w:spacing w:line="252" w:lineRule="auto"/>
              <w:jc w:val="center"/>
            </w:pPr>
            <w:r w:rsidRPr="005D194D"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25CFB" w14:textId="77777777" w:rsidR="0083601E" w:rsidRPr="005D194D" w:rsidRDefault="0083601E" w:rsidP="00C7148E">
            <w:pPr>
              <w:spacing w:line="252" w:lineRule="auto"/>
              <w:jc w:val="center"/>
            </w:pPr>
            <w:r w:rsidRPr="005D194D"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5F275" w14:textId="77777777" w:rsidR="0083601E" w:rsidRPr="005D194D" w:rsidRDefault="0083601E" w:rsidP="00C7148E">
            <w:pPr>
              <w:spacing w:line="252" w:lineRule="auto"/>
              <w:jc w:val="center"/>
            </w:pPr>
            <w:r w:rsidRPr="005D194D"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35436" w14:textId="77777777" w:rsidR="0083601E" w:rsidRPr="005D194D" w:rsidRDefault="0083601E" w:rsidP="00C7148E">
            <w:pPr>
              <w:spacing w:line="252" w:lineRule="auto"/>
              <w:jc w:val="center"/>
            </w:pPr>
            <w:r w:rsidRPr="005D194D">
              <w:t>2</w:t>
            </w:r>
          </w:p>
        </w:tc>
      </w:tr>
      <w:tr w:rsidR="00AA4173" w14:paraId="436A488B" w14:textId="77777777" w:rsidTr="00F061B8">
        <w:trPr>
          <w:trHeight w:val="43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1E47C" w14:textId="77777777" w:rsidR="0083601E" w:rsidRDefault="0083601E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Since </w:t>
            </w:r>
            <w:r w:rsidR="00C7148E">
              <w:rPr>
                <w:b/>
                <w:bCs/>
              </w:rPr>
              <w:t>April 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 w:rsidR="00C7148E">
              <w:rPr>
                <w:b/>
                <w:bCs/>
              </w:rPr>
              <w:t>, </w:t>
            </w:r>
            <w:r>
              <w:rPr>
                <w:b/>
                <w:bCs/>
              </w:rPr>
              <w:t>2022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75E9B" w14:textId="77777777" w:rsidR="0083601E" w:rsidRPr="005D194D" w:rsidRDefault="005D194D" w:rsidP="00C7148E">
            <w:pPr>
              <w:spacing w:line="252" w:lineRule="auto"/>
              <w:jc w:val="center"/>
            </w:pPr>
            <w:r w:rsidRPr="005D194D"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5604A" w14:textId="77777777" w:rsidR="0083601E" w:rsidRPr="005D194D" w:rsidRDefault="00912E28" w:rsidP="00C7148E">
            <w:pPr>
              <w:spacing w:line="252" w:lineRule="auto"/>
              <w:jc w:val="center"/>
            </w:pPr>
            <w:r w:rsidRPr="005D194D"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BB3A7" w14:textId="77777777" w:rsidR="0083601E" w:rsidRPr="005D194D" w:rsidRDefault="005D194D" w:rsidP="00C7148E">
            <w:pPr>
              <w:spacing w:line="252" w:lineRule="auto"/>
              <w:jc w:val="center"/>
            </w:pPr>
            <w:r w:rsidRPr="005D194D"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7CD10" w14:textId="77777777" w:rsidR="0083601E" w:rsidRPr="005D194D" w:rsidRDefault="00912E28" w:rsidP="00C7148E">
            <w:pPr>
              <w:spacing w:line="252" w:lineRule="auto"/>
              <w:jc w:val="center"/>
            </w:pPr>
            <w:r w:rsidRPr="005D194D"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2858D" w14:textId="77777777" w:rsidR="0083601E" w:rsidRPr="005D194D" w:rsidRDefault="0083601E" w:rsidP="00C7148E">
            <w:pPr>
              <w:spacing w:line="252" w:lineRule="auto"/>
              <w:jc w:val="center"/>
            </w:pPr>
            <w:r w:rsidRPr="005D194D">
              <w:t>n/a</w:t>
            </w:r>
          </w:p>
        </w:tc>
      </w:tr>
    </w:tbl>
    <w:p w14:paraId="5F6DC733" w14:textId="07E21A70" w:rsidR="00AA4173" w:rsidRDefault="00AA4173" w:rsidP="00602707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Since </w:t>
      </w:r>
      <w:r w:rsidRPr="003E585F">
        <w:rPr>
          <w:rFonts w:asciiTheme="minorHAnsi" w:eastAsiaTheme="minorHAnsi" w:hAnsiTheme="minorHAnsi" w:cstheme="minorHAnsi"/>
          <w:szCs w:val="22"/>
          <w:lang w:eastAsia="en-US"/>
        </w:rPr>
        <w:t>the coming into force of C-58</w:t>
      </w:r>
      <w:r>
        <w:rPr>
          <w:rFonts w:asciiTheme="minorHAnsi" w:eastAsiaTheme="minorHAnsi" w:hAnsiTheme="minorHAnsi" w:cstheme="minorHAnsi"/>
          <w:szCs w:val="22"/>
          <w:lang w:eastAsia="en-US"/>
        </w:rPr>
        <w:t>, u</w:t>
      </w:r>
      <w:r w:rsidRPr="00D4174F">
        <w:rPr>
          <w:rFonts w:asciiTheme="minorHAnsi" w:eastAsiaTheme="minorHAnsi" w:hAnsiTheme="minorHAnsi" w:cstheme="minorHAnsi"/>
          <w:szCs w:val="22"/>
          <w:lang w:eastAsia="en-US"/>
        </w:rPr>
        <w:t>nder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section 6.1(1) of the </w:t>
      </w:r>
      <w:r w:rsidRPr="00D4174F">
        <w:rPr>
          <w:rFonts w:asciiTheme="minorHAnsi" w:eastAsiaTheme="minorHAnsi" w:hAnsiTheme="minorHAnsi" w:cstheme="minorHAnsi"/>
          <w:i/>
          <w:szCs w:val="22"/>
          <w:lang w:eastAsia="en-US"/>
        </w:rPr>
        <w:t>Access to Information Act</w:t>
      </w:r>
      <w:r w:rsidRPr="00D4174F">
        <w:rPr>
          <w:rFonts w:asciiTheme="minorHAnsi" w:eastAsiaTheme="minorHAnsi" w:hAnsiTheme="minorHAnsi" w:cstheme="minorHAnsi"/>
          <w:szCs w:val="22"/>
          <w:lang w:eastAsia="en-US"/>
        </w:rPr>
        <w:t>,</w:t>
      </w:r>
      <w:r>
        <w:rPr>
          <w:rFonts w:ascii="Arial" w:hAnsi="Arial" w:cs="Arial"/>
          <w:color w:val="333333"/>
        </w:rPr>
        <w:t> </w:t>
      </w:r>
      <w:hyperlink r:id="rId12" w:history="1">
        <w:r w:rsidRPr="00D4174F">
          <w:rPr>
            <w:rFonts w:asciiTheme="minorHAnsi" w:eastAsiaTheme="minorHAnsi" w:hAnsiTheme="minorHAnsi" w:cstheme="minorHAnsi"/>
            <w:szCs w:val="22"/>
            <w:lang w:eastAsia="en-US"/>
          </w:rPr>
          <w:t xml:space="preserve">institutions </w:t>
        </w:r>
        <w:r w:rsidRPr="00480EB8">
          <w:rPr>
            <w:rFonts w:asciiTheme="minorHAnsi" w:eastAsiaTheme="minorHAnsi" w:hAnsiTheme="minorHAnsi" w:cstheme="minorHAnsi"/>
            <w:szCs w:val="22"/>
            <w:lang w:eastAsia="en-US"/>
          </w:rPr>
          <w:t>may</w:t>
        </w:r>
        <w:r w:rsidRPr="00D4174F">
          <w:rPr>
            <w:rFonts w:asciiTheme="minorHAnsi" w:eastAsiaTheme="minorHAnsi" w:hAnsiTheme="minorHAnsi" w:cstheme="minorHAnsi"/>
            <w:szCs w:val="22"/>
            <w:lang w:eastAsia="en-US"/>
          </w:rPr>
          <w:t xml:space="preserve"> refuse to process an access request</w:t>
        </w:r>
      </w:hyperlink>
      <w:r w:rsidRPr="00D4174F">
        <w:rPr>
          <w:rFonts w:asciiTheme="minorHAnsi" w:eastAsiaTheme="minorHAnsi" w:hAnsiTheme="minorHAnsi" w:cstheme="minorHAnsi"/>
          <w:szCs w:val="22"/>
          <w:lang w:eastAsia="en-US"/>
        </w:rPr>
        <w:t> if, in the opinion of the head of the institution, the request is deemed vexatious, made in bad faith or otherwise an abuse of the right to make a request for access to records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14:paraId="117FCD0B" w14:textId="77777777" w:rsidR="00AA4173" w:rsidRPr="00D4174F" w:rsidRDefault="00AA4173" w:rsidP="00602707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Pr="00D4174F">
        <w:rPr>
          <w:rFonts w:asciiTheme="minorHAnsi" w:eastAsiaTheme="minorHAnsi" w:hAnsiTheme="minorHAnsi" w:cstheme="minorHAnsi"/>
          <w:szCs w:val="22"/>
          <w:lang w:eastAsia="en-US"/>
        </w:rPr>
        <w:t>n institution cannot refuse to process a request without the Information Commissioner’s approval.</w:t>
      </w:r>
    </w:p>
    <w:p w14:paraId="6EE9C67B" w14:textId="77777777" w:rsidR="00BE3519" w:rsidRPr="002A3AC0" w:rsidRDefault="00AA4173" w:rsidP="006B6A37">
      <w:pPr>
        <w:pStyle w:val="NormalWeb"/>
        <w:numPr>
          <w:ilvl w:val="0"/>
          <w:numId w:val="11"/>
        </w:numPr>
        <w:spacing w:before="0" w:beforeAutospacing="0" w:after="0" w:afterAutospacing="0"/>
        <w:ind w:left="357" w:hanging="357"/>
        <w:rPr>
          <w:b/>
        </w:rPr>
      </w:pPr>
      <w:r w:rsidRPr="002A3AC0">
        <w:rPr>
          <w:rFonts w:asciiTheme="minorHAnsi" w:eastAsiaTheme="minorHAnsi" w:hAnsiTheme="minorHAnsi" w:cstheme="minorHAnsi"/>
          <w:szCs w:val="22"/>
          <w:lang w:eastAsia="en-US"/>
        </w:rPr>
        <w:t>Since June 2019, the Commissioner received </w:t>
      </w:r>
      <w:r w:rsidR="005D194D" w:rsidRPr="002A3AC0">
        <w:rPr>
          <w:rFonts w:asciiTheme="minorHAnsi" w:eastAsiaTheme="minorHAnsi" w:hAnsiTheme="minorHAnsi" w:cstheme="minorHAnsi"/>
          <w:szCs w:val="22"/>
          <w:lang w:eastAsia="en-US"/>
        </w:rPr>
        <w:t>55</w:t>
      </w:r>
      <w:r w:rsidRPr="002A3AC0">
        <w:rPr>
          <w:rFonts w:asciiTheme="minorHAnsi" w:eastAsiaTheme="minorHAnsi" w:hAnsiTheme="minorHAnsi" w:cstheme="minorHAnsi"/>
          <w:szCs w:val="22"/>
          <w:lang w:eastAsia="en-US"/>
        </w:rPr>
        <w:t xml:space="preserve"> such applications from institutions. Permission was granted in </w:t>
      </w:r>
      <w:r w:rsidR="005D194D" w:rsidRPr="002A3AC0">
        <w:rPr>
          <w:rFonts w:asciiTheme="minorHAnsi" w:eastAsiaTheme="minorHAnsi" w:hAnsiTheme="minorHAnsi" w:cstheme="minorHAnsi"/>
          <w:szCs w:val="22"/>
          <w:lang w:eastAsia="en-US"/>
        </w:rPr>
        <w:t>five</w:t>
      </w:r>
      <w:r w:rsidRPr="002A3AC0">
        <w:rPr>
          <w:rFonts w:asciiTheme="minorHAnsi" w:eastAsiaTheme="minorHAnsi" w:hAnsiTheme="minorHAnsi" w:cstheme="minorHAnsi"/>
          <w:szCs w:val="22"/>
          <w:lang w:eastAsia="en-US"/>
        </w:rPr>
        <w:t xml:space="preserve"> cases, including </w:t>
      </w:r>
      <w:hyperlink r:id="rId13" w:history="1">
        <w:r w:rsidRPr="002A3AC0">
          <w:rPr>
            <w:rStyle w:val="Hyperlink"/>
            <w:rFonts w:asciiTheme="minorHAnsi" w:eastAsiaTheme="minorHAnsi" w:hAnsiTheme="minorHAnsi" w:cstheme="minorHAnsi"/>
            <w:szCs w:val="22"/>
            <w:lang w:eastAsia="en-US"/>
          </w:rPr>
          <w:t>one for a request </w:t>
        </w:r>
      </w:hyperlink>
      <w:r w:rsidRPr="002A3AC0">
        <w:rPr>
          <w:rFonts w:asciiTheme="minorHAnsi" w:eastAsiaTheme="minorHAnsi" w:hAnsiTheme="minorHAnsi" w:cstheme="minorHAnsi"/>
          <w:szCs w:val="22"/>
          <w:lang w:eastAsia="en-US"/>
        </w:rPr>
        <w:t>regarded as part of a pattern of behaviour that involved repeated access requests for subs</w:t>
      </w:r>
      <w:r w:rsidR="00B51B01" w:rsidRPr="002A3AC0">
        <w:rPr>
          <w:rFonts w:asciiTheme="minorHAnsi" w:eastAsiaTheme="minorHAnsi" w:hAnsiTheme="minorHAnsi" w:cstheme="minorHAnsi"/>
          <w:szCs w:val="22"/>
          <w:lang w:eastAsia="en-US"/>
        </w:rPr>
        <w:t>tantively the same information.</w:t>
      </w:r>
    </w:p>
    <w:sectPr w:rsidR="00BE3519" w:rsidRPr="002A3AC0" w:rsidSect="00480EB8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AB17" w14:textId="77777777" w:rsidR="00596F49" w:rsidRDefault="00596F49" w:rsidP="003E585F">
      <w:pPr>
        <w:spacing w:after="0" w:line="240" w:lineRule="auto"/>
      </w:pPr>
      <w:r>
        <w:separator/>
      </w:r>
    </w:p>
  </w:endnote>
  <w:endnote w:type="continuationSeparator" w:id="0">
    <w:p w14:paraId="38002DCD" w14:textId="77777777" w:rsidR="00596F49" w:rsidRDefault="00596F49" w:rsidP="003E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01422"/>
      <w:docPartObj>
        <w:docPartGallery w:val="Page Numbers (Bottom of Page)"/>
        <w:docPartUnique/>
      </w:docPartObj>
    </w:sdtPr>
    <w:sdtEndPr/>
    <w:sdtContent>
      <w:p w14:paraId="1EB2E534" w14:textId="31ECACF0" w:rsidR="00C73114" w:rsidRDefault="00C731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6F" w:rsidRPr="00D2056F">
          <w:rPr>
            <w:noProof/>
            <w:lang w:val="fr-FR"/>
          </w:rPr>
          <w:t>2</w:t>
        </w:r>
        <w:r>
          <w:fldChar w:fldCharType="end"/>
        </w:r>
      </w:p>
    </w:sdtContent>
  </w:sdt>
  <w:p w14:paraId="500FAB78" w14:textId="77777777" w:rsidR="00C73114" w:rsidRDefault="00C7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9197" w14:textId="77777777" w:rsidR="00596F49" w:rsidRDefault="00596F49" w:rsidP="003E585F">
      <w:pPr>
        <w:spacing w:after="0" w:line="240" w:lineRule="auto"/>
      </w:pPr>
      <w:r>
        <w:separator/>
      </w:r>
    </w:p>
  </w:footnote>
  <w:footnote w:type="continuationSeparator" w:id="0">
    <w:p w14:paraId="6A6680D0" w14:textId="77777777" w:rsidR="00596F49" w:rsidRDefault="00596F49" w:rsidP="003E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4F"/>
    <w:multiLevelType w:val="hybridMultilevel"/>
    <w:tmpl w:val="151068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508F"/>
    <w:multiLevelType w:val="hybridMultilevel"/>
    <w:tmpl w:val="AC4A2E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D368A"/>
    <w:multiLevelType w:val="hybridMultilevel"/>
    <w:tmpl w:val="DCF8A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E7206"/>
    <w:multiLevelType w:val="hybridMultilevel"/>
    <w:tmpl w:val="1D1C00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25606"/>
    <w:multiLevelType w:val="hybridMultilevel"/>
    <w:tmpl w:val="0D8AE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70877"/>
    <w:multiLevelType w:val="hybridMultilevel"/>
    <w:tmpl w:val="89DE88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A617B9"/>
    <w:multiLevelType w:val="hybridMultilevel"/>
    <w:tmpl w:val="A76EBB5A"/>
    <w:lvl w:ilvl="0" w:tplc="EF3A3B20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E20"/>
    <w:multiLevelType w:val="hybridMultilevel"/>
    <w:tmpl w:val="C6CC32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C65F3"/>
    <w:multiLevelType w:val="hybridMultilevel"/>
    <w:tmpl w:val="DFA2F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B4DD7"/>
    <w:multiLevelType w:val="hybridMultilevel"/>
    <w:tmpl w:val="ECAE7AF8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769C1FFE"/>
    <w:multiLevelType w:val="hybridMultilevel"/>
    <w:tmpl w:val="86666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34083"/>
    <w:multiLevelType w:val="hybridMultilevel"/>
    <w:tmpl w:val="5E4AC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B52F06"/>
    <w:multiLevelType w:val="hybridMultilevel"/>
    <w:tmpl w:val="F102878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B"/>
    <w:rsid w:val="00002835"/>
    <w:rsid w:val="0002259C"/>
    <w:rsid w:val="000543D8"/>
    <w:rsid w:val="000638BC"/>
    <w:rsid w:val="00091AA9"/>
    <w:rsid w:val="000B496B"/>
    <w:rsid w:val="00123F5D"/>
    <w:rsid w:val="001A3D6D"/>
    <w:rsid w:val="001A7CF9"/>
    <w:rsid w:val="001E74D2"/>
    <w:rsid w:val="00242647"/>
    <w:rsid w:val="002A3AC0"/>
    <w:rsid w:val="002E289B"/>
    <w:rsid w:val="002F038B"/>
    <w:rsid w:val="00300D9B"/>
    <w:rsid w:val="00345977"/>
    <w:rsid w:val="00364B25"/>
    <w:rsid w:val="00365F1A"/>
    <w:rsid w:val="00386049"/>
    <w:rsid w:val="003B6911"/>
    <w:rsid w:val="003E585F"/>
    <w:rsid w:val="00480EB8"/>
    <w:rsid w:val="004B3992"/>
    <w:rsid w:val="004D032D"/>
    <w:rsid w:val="004E1368"/>
    <w:rsid w:val="004F4162"/>
    <w:rsid w:val="00584E20"/>
    <w:rsid w:val="00596F49"/>
    <w:rsid w:val="005C664A"/>
    <w:rsid w:val="005D194D"/>
    <w:rsid w:val="00602707"/>
    <w:rsid w:val="00607900"/>
    <w:rsid w:val="00615C4D"/>
    <w:rsid w:val="006528C8"/>
    <w:rsid w:val="00657F69"/>
    <w:rsid w:val="00675B1C"/>
    <w:rsid w:val="006D7BD0"/>
    <w:rsid w:val="00723864"/>
    <w:rsid w:val="00735BCB"/>
    <w:rsid w:val="007473B0"/>
    <w:rsid w:val="007A3666"/>
    <w:rsid w:val="007E2107"/>
    <w:rsid w:val="0083601E"/>
    <w:rsid w:val="00845CB5"/>
    <w:rsid w:val="00855680"/>
    <w:rsid w:val="00861C0D"/>
    <w:rsid w:val="008771CB"/>
    <w:rsid w:val="008928BE"/>
    <w:rsid w:val="008A15D3"/>
    <w:rsid w:val="008A36BF"/>
    <w:rsid w:val="008F617E"/>
    <w:rsid w:val="00912E28"/>
    <w:rsid w:val="009474D4"/>
    <w:rsid w:val="00953AD5"/>
    <w:rsid w:val="00953CD0"/>
    <w:rsid w:val="009565FF"/>
    <w:rsid w:val="00962014"/>
    <w:rsid w:val="009B7140"/>
    <w:rsid w:val="009D0A65"/>
    <w:rsid w:val="009F10C4"/>
    <w:rsid w:val="00A01EA2"/>
    <w:rsid w:val="00A15699"/>
    <w:rsid w:val="00A3051D"/>
    <w:rsid w:val="00A31E08"/>
    <w:rsid w:val="00A472D0"/>
    <w:rsid w:val="00A86EA7"/>
    <w:rsid w:val="00A92BD2"/>
    <w:rsid w:val="00AA4173"/>
    <w:rsid w:val="00AE7C4A"/>
    <w:rsid w:val="00B04416"/>
    <w:rsid w:val="00B2492A"/>
    <w:rsid w:val="00B51B01"/>
    <w:rsid w:val="00BA77E0"/>
    <w:rsid w:val="00BC0155"/>
    <w:rsid w:val="00BD68F7"/>
    <w:rsid w:val="00BE3519"/>
    <w:rsid w:val="00C12959"/>
    <w:rsid w:val="00C20054"/>
    <w:rsid w:val="00C62A96"/>
    <w:rsid w:val="00C7148E"/>
    <w:rsid w:val="00C73114"/>
    <w:rsid w:val="00CC1C46"/>
    <w:rsid w:val="00CD762E"/>
    <w:rsid w:val="00D2056F"/>
    <w:rsid w:val="00D4174F"/>
    <w:rsid w:val="00D50C2A"/>
    <w:rsid w:val="00DA0BF9"/>
    <w:rsid w:val="00DA4582"/>
    <w:rsid w:val="00DF23F6"/>
    <w:rsid w:val="00E42D95"/>
    <w:rsid w:val="00EB3EA4"/>
    <w:rsid w:val="00EF53D4"/>
    <w:rsid w:val="00EF6810"/>
    <w:rsid w:val="00F043A6"/>
    <w:rsid w:val="00F061B8"/>
    <w:rsid w:val="00F56D73"/>
    <w:rsid w:val="00F6274A"/>
    <w:rsid w:val="00F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BEE2"/>
  <w15:chartTrackingRefBased/>
  <w15:docId w15:val="{A8357EB8-E4E2-4A08-A823-2C3CFEEF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9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Numbered Paragrap"/>
    <w:basedOn w:val="Normal"/>
    <w:link w:val="ListParagraphChar"/>
    <w:uiPriority w:val="34"/>
    <w:qFormat/>
    <w:rsid w:val="002E2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"/>
    <w:link w:val="ListParagraph"/>
    <w:uiPriority w:val="34"/>
    <w:locked/>
    <w:rsid w:val="002E289B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2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49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F68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6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D7BD0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50C2A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85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85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85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85F"/>
    <w:rPr>
      <w:sz w:val="20"/>
      <w:szCs w:val="20"/>
    </w:rPr>
  </w:style>
  <w:style w:type="character" w:customStyle="1" w:styleId="nowrap">
    <w:name w:val="nowrap"/>
    <w:basedOn w:val="DefaultParagraphFont"/>
    <w:rsid w:val="009F10C4"/>
  </w:style>
  <w:style w:type="paragraph" w:styleId="Header">
    <w:name w:val="header"/>
    <w:basedOn w:val="Normal"/>
    <w:link w:val="HeaderChar"/>
    <w:uiPriority w:val="99"/>
    <w:unhideWhenUsed/>
    <w:rsid w:val="0048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B8"/>
  </w:style>
  <w:style w:type="paragraph" w:styleId="Footer">
    <w:name w:val="footer"/>
    <w:basedOn w:val="Normal"/>
    <w:link w:val="FooterChar"/>
    <w:uiPriority w:val="99"/>
    <w:unhideWhenUsed/>
    <w:rsid w:val="0048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B8"/>
  </w:style>
  <w:style w:type="character" w:styleId="CommentReference">
    <w:name w:val="annotation reference"/>
    <w:basedOn w:val="DefaultParagraphFont"/>
    <w:uiPriority w:val="99"/>
    <w:semiHidden/>
    <w:unhideWhenUsed/>
    <w:rsid w:val="00DA0B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BF9"/>
    <w:pPr>
      <w:spacing w:after="0" w:line="240" w:lineRule="auto"/>
    </w:pPr>
  </w:style>
  <w:style w:type="paragraph" w:styleId="NoSpacing">
    <w:name w:val="No Spacing"/>
    <w:uiPriority w:val="1"/>
    <w:qFormat/>
    <w:rsid w:val="00657F6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D6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b-inv">
    <w:name w:val="wb-inv"/>
    <w:basedOn w:val="DefaultParagraphFont"/>
    <w:rsid w:val="00BD68F7"/>
  </w:style>
  <w:style w:type="character" w:styleId="Strong">
    <w:name w:val="Strong"/>
    <w:basedOn w:val="DefaultParagraphFont"/>
    <w:uiPriority w:val="22"/>
    <w:qFormat/>
    <w:rsid w:val="00BD6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oic-ci.gc.ca/en/decisions/decision-pursuant-61-2021-oic-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ic-ci.gc.ca/en/resources/reports-publications/2020-2021-annual-report" TargetMode="External"/><Relationship Id="rId12" Type="http://schemas.openxmlformats.org/officeDocument/2006/relationships/hyperlink" Target="https://www.oic-ci.gc.ca/en/information-commissioners-guidance/seeking-information-commissioners-approval-decline-act-acc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ote\AppData\Roaming\OpenText\DM\Temp\ACCESS-%23841691-v8-Stats_February_1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ote\AppData\Roaming\OpenText\DM\Temp\ACCESS-%23841691-v8-Stats_February_1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ote\AppData\Roaming\OpenText\DM\Temp\ACCESS-%23841691-v8-Stats_February_1_2023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200" b="1"/>
              <a:t>Complaints Closed</a:t>
            </a:r>
            <a:r>
              <a:rPr lang="en-CA" sz="1200" b="1" baseline="0"/>
              <a:t> - full vs. partial year - 2018-19 to 2022-23 </a:t>
            </a:r>
          </a:p>
          <a:p>
            <a:pPr>
              <a:defRPr/>
            </a:pPr>
            <a:r>
              <a:rPr lang="en-CA" sz="1200" b="1" baseline="0"/>
              <a:t>(As of March 1, 2023)</a:t>
            </a:r>
            <a:endParaRPr lang="en-CA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Complaints!$B$28</c:f>
              <c:strCache>
                <c:ptCount val="1"/>
                <c:pt idx="0">
                  <c:v>Full year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6B-4F4D-A4F6-A8D1FBC19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Complaints!$A$29:$A$33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Complaints!$B$29:$B$33</c:f>
              <c:numCache>
                <c:formatCode>General</c:formatCode>
                <c:ptCount val="5"/>
                <c:pt idx="0">
                  <c:v>2611</c:v>
                </c:pt>
                <c:pt idx="1">
                  <c:v>5528</c:v>
                </c:pt>
                <c:pt idx="2">
                  <c:v>4060</c:v>
                </c:pt>
                <c:pt idx="3">
                  <c:v>6787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6B-4F4D-A4F6-A8D1FBC19E56}"/>
            </c:ext>
          </c:extLst>
        </c:ser>
        <c:ser>
          <c:idx val="1"/>
          <c:order val="1"/>
          <c:tx>
            <c:strRef>
              <c:f>Complaints!$C$28</c:f>
              <c:strCache>
                <c:ptCount val="1"/>
                <c:pt idx="0">
                  <c:v>April 1st to March 1st</c:v>
                </c:pt>
              </c:strCache>
            </c:strRef>
          </c:tx>
          <c:spPr>
            <a:solidFill>
              <a:srgbClr val="9933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Complaints!$A$29:$A$33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Complaints!$C$29:$C$33</c:f>
              <c:numCache>
                <c:formatCode>General</c:formatCode>
                <c:ptCount val="5"/>
                <c:pt idx="0">
                  <c:v>2314</c:v>
                </c:pt>
                <c:pt idx="1">
                  <c:v>3723</c:v>
                </c:pt>
                <c:pt idx="2">
                  <c:v>3363</c:v>
                </c:pt>
                <c:pt idx="3">
                  <c:v>5554</c:v>
                </c:pt>
                <c:pt idx="4">
                  <c:v>6970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6B-4F4D-A4F6-A8D1FBC19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75424"/>
        <c:axId val="66243515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Complaints!$D$28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Complaints!$A$29:$A$33</c15:sqref>
                        </c15:formulaRef>
                      </c:ext>
                    </c:extLst>
                    <c:strCache>
                      <c:ptCount val="5"/>
                      <c:pt idx="0">
                        <c:v>2018-19</c:v>
                      </c:pt>
                      <c:pt idx="1">
                        <c:v>2019-20</c:v>
                      </c:pt>
                      <c:pt idx="2">
                        <c:v>2020-21</c:v>
                      </c:pt>
                      <c:pt idx="3">
                        <c:v>2021-22</c:v>
                      </c:pt>
                      <c:pt idx="4">
                        <c:v>2022-23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Complaints!$D$29:$D$33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876B-4F4D-A4F6-A8D1FBC19E56}"/>
                  </c:ext>
                </c:extLst>
              </c15:ser>
            </c15:filteredBarSeries>
          </c:ext>
        </c:extLst>
      </c:barChart>
      <c:catAx>
        <c:axId val="14875424"/>
        <c:scaling>
          <c:orientation val="minMax"/>
        </c:scaling>
        <c:delete val="0"/>
        <c:axPos val="l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435152"/>
        <c:crosses val="autoZero"/>
        <c:auto val="1"/>
        <c:lblAlgn val="ctr"/>
        <c:lblOffset val="100"/>
        <c:noMultiLvlLbl val="0"/>
      </c:catAx>
      <c:valAx>
        <c:axId val="662435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7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Top 20 institutions in the OIC inventory as of March 1, 2023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933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'Top 20 ENG'!$A$3:$A$22</c:f>
              <c:strCache>
                <c:ptCount val="20"/>
                <c:pt idx="0">
                  <c:v>Immigration, Refugees &amp; Citizenship Canada</c:v>
                </c:pt>
                <c:pt idx="1">
                  <c:v>Canada Border Services Agency</c:v>
                </c:pt>
                <c:pt idx="2">
                  <c:v>Royal Canadian Mounted Police</c:v>
                </c:pt>
                <c:pt idx="3">
                  <c:v>Library and Archives Canada</c:v>
                </c:pt>
                <c:pt idx="4">
                  <c:v>Canada Revenue Agency</c:v>
                </c:pt>
                <c:pt idx="5">
                  <c:v>Privy Council Office</c:v>
                </c:pt>
                <c:pt idx="6">
                  <c:v>Public Services &amp; Procurement Canada</c:v>
                </c:pt>
                <c:pt idx="7">
                  <c:v>National Defence</c:v>
                </c:pt>
                <c:pt idx="8">
                  <c:v>Transport Canada</c:v>
                </c:pt>
                <c:pt idx="9">
                  <c:v>Global Affairs Canada</c:v>
                </c:pt>
                <c:pt idx="10">
                  <c:v>Health Canada</c:v>
                </c:pt>
                <c:pt idx="11">
                  <c:v>Justice Canada</c:v>
                </c:pt>
                <c:pt idx="12">
                  <c:v>Correctional Services Canada</c:v>
                </c:pt>
                <c:pt idx="13">
                  <c:v>Employment and Social Development Canada</c:v>
                </c:pt>
                <c:pt idx="14">
                  <c:v>Innovation, Science and Economic Development Canada</c:v>
                </c:pt>
                <c:pt idx="15">
                  <c:v>Indigenous Services Canada</c:v>
                </c:pt>
                <c:pt idx="16">
                  <c:v>Shared Services Canada</c:v>
                </c:pt>
                <c:pt idx="17">
                  <c:v>Environment and Climate Change Canada</c:v>
                </c:pt>
                <c:pt idx="18">
                  <c:v>Treasury Board Secretariat</c:v>
                </c:pt>
                <c:pt idx="19">
                  <c:v>Canadian Security Intelligence Service</c:v>
                </c:pt>
              </c:strCache>
            </c:strRef>
          </c:cat>
          <c:val>
            <c:numRef>
              <c:f>'Top 20 ENG'!$B$3:$B$22</c:f>
              <c:numCache>
                <c:formatCode>General</c:formatCode>
                <c:ptCount val="20"/>
                <c:pt idx="0">
                  <c:v>1125</c:v>
                </c:pt>
                <c:pt idx="1">
                  <c:v>368</c:v>
                </c:pt>
                <c:pt idx="2">
                  <c:v>296</c:v>
                </c:pt>
                <c:pt idx="3">
                  <c:v>252</c:v>
                </c:pt>
                <c:pt idx="4">
                  <c:v>207</c:v>
                </c:pt>
                <c:pt idx="5">
                  <c:v>201</c:v>
                </c:pt>
                <c:pt idx="6">
                  <c:v>112</c:v>
                </c:pt>
                <c:pt idx="7">
                  <c:v>109</c:v>
                </c:pt>
                <c:pt idx="8">
                  <c:v>87</c:v>
                </c:pt>
                <c:pt idx="9">
                  <c:v>84</c:v>
                </c:pt>
                <c:pt idx="10">
                  <c:v>79</c:v>
                </c:pt>
                <c:pt idx="11">
                  <c:v>66</c:v>
                </c:pt>
                <c:pt idx="12">
                  <c:v>56</c:v>
                </c:pt>
                <c:pt idx="13">
                  <c:v>50</c:v>
                </c:pt>
                <c:pt idx="14">
                  <c:v>39</c:v>
                </c:pt>
                <c:pt idx="15">
                  <c:v>39</c:v>
                </c:pt>
                <c:pt idx="16">
                  <c:v>36</c:v>
                </c:pt>
                <c:pt idx="17">
                  <c:v>30</c:v>
                </c:pt>
                <c:pt idx="18">
                  <c:v>28</c:v>
                </c:pt>
                <c:pt idx="1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EF-4C62-B752-C570C0171C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1773824"/>
        <c:axId val="2101772576"/>
      </c:barChart>
      <c:catAx>
        <c:axId val="210177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1772576"/>
        <c:crosses val="autoZero"/>
        <c:auto val="1"/>
        <c:lblAlgn val="ctr"/>
        <c:lblOffset val="100"/>
        <c:noMultiLvlLbl val="0"/>
      </c:catAx>
      <c:valAx>
        <c:axId val="210177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177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 sz="1600"/>
              <a:t>Inventory of Complaints</a:t>
            </a:r>
            <a:r>
              <a:rPr lang="en-CA" sz="1600" baseline="0"/>
              <a:t> </a:t>
            </a:r>
          </a:p>
          <a:p>
            <a:pPr>
              <a:defRPr/>
            </a:pPr>
            <a:r>
              <a:rPr lang="en-CA" sz="1600"/>
              <a:t>2021-22 vs 2022-23 (as of March</a:t>
            </a:r>
            <a:r>
              <a:rPr lang="en-CA" sz="1600" baseline="0"/>
              <a:t> 1</a:t>
            </a:r>
            <a:r>
              <a:rPr lang="en-CA" sz="1600"/>
              <a:t>, 2023)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2487989369314117E-2"/>
          <c:y val="0.15255065992028158"/>
          <c:w val="0.97751201063068593"/>
          <c:h val="0.7594385460805246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Complaints!$B$53</c:f>
              <c:strCache>
                <c:ptCount val="1"/>
                <c:pt idx="0">
                  <c:v>pre 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588D-4DE5-AC09-BF32DD3BE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Complaints!$A$54:$A$55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Complaints!$B$54:$B$55</c:f>
              <c:numCache>
                <c:formatCode>General</c:formatCode>
                <c:ptCount val="2"/>
                <c:pt idx="0">
                  <c:v>448</c:v>
                </c:pt>
                <c:pt idx="1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D-4DE5-AC09-BF32DD3BE026}"/>
            </c:ext>
          </c:extLst>
        </c:ser>
        <c:ser>
          <c:idx val="1"/>
          <c:order val="1"/>
          <c:tx>
            <c:strRef>
              <c:f>Complaints!$C$53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E9A7B699-5E97-409F-A7DC-A80B4522CA6E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88D-4DE5-AC09-BF32DD3BE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Complaints!$A$54:$A$55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Complaints!$C$54:$C$55</c:f>
              <c:numCache>
                <c:formatCode>General</c:formatCode>
                <c:ptCount val="2"/>
                <c:pt idx="0">
                  <c:v>300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8D-4DE5-AC09-BF32DD3BE026}"/>
            </c:ext>
          </c:extLst>
        </c:ser>
        <c:ser>
          <c:idx val="2"/>
          <c:order val="2"/>
          <c:tx>
            <c:strRef>
              <c:f>Complaints!$D$53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rgbClr val="FFCC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8712582C-D6C5-43B0-B512-536CF83CD41A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88D-4DE5-AC09-BF32DD3BE026}"/>
                </c:ext>
              </c:extLst>
            </c:dLbl>
            <c:dLbl>
              <c:idx val="1"/>
              <c:layout>
                <c:manualLayout>
                  <c:x val="-1.4991819726095299E-16"/>
                  <c:y val="-6.2568434224934671E-3"/>
                </c:manualLayout>
              </c:layout>
              <c:tx>
                <c:rich>
                  <a:bodyPr/>
                  <a:lstStyle/>
                  <a:p>
                    <a:fld id="{686009D7-568D-488B-AE04-16A42968EDEC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88D-4DE5-AC09-BF32DD3BE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Complaints!$A$54:$A$55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Complaints!$D$54:$D$55</c:f>
              <c:numCache>
                <c:formatCode>General</c:formatCode>
                <c:ptCount val="2"/>
                <c:pt idx="0">
                  <c:v>416</c:v>
                </c:pt>
                <c:pt idx="1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8D-4DE5-AC09-BF32DD3BE026}"/>
            </c:ext>
          </c:extLst>
        </c:ser>
        <c:ser>
          <c:idx val="3"/>
          <c:order val="3"/>
          <c:tx>
            <c:strRef>
              <c:f>Complaints!$E$53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rgbClr val="FFCC99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79681793-BBFF-4F89-8A0D-1FDC0C56A794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88D-4DE5-AC09-BF32DD3BE02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FFA12C53-0955-4315-93D8-D210117CB729}" type="VALUE">
                      <a:rPr lang="en-US">
                        <a:solidFill>
                          <a:sysClr val="windowText" lastClr="000000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88D-4DE5-AC09-BF32DD3BE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Complaints!$A$54:$A$55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Complaints!$E$54:$E$55</c:f>
              <c:numCache>
                <c:formatCode>General</c:formatCode>
                <c:ptCount val="2"/>
                <c:pt idx="0">
                  <c:v>635</c:v>
                </c:pt>
                <c:pt idx="1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88D-4DE5-AC09-BF32DD3BE026}"/>
            </c:ext>
          </c:extLst>
        </c:ser>
        <c:ser>
          <c:idx val="4"/>
          <c:order val="4"/>
          <c:tx>
            <c:strRef>
              <c:f>Complaints!$F$53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rgbClr val="99336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E79841CA-ADA8-44A0-8CC9-FC6018FF4C5B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88D-4DE5-AC09-BF32DD3BE02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5B333B5-3DEA-4C61-BCCE-A6F75B330A44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CA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88D-4DE5-AC09-BF32DD3BE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Complaints!$A$54:$A$55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Complaints!$F$54:$F$55</c:f>
              <c:numCache>
                <c:formatCode>General</c:formatCode>
                <c:ptCount val="2"/>
                <c:pt idx="0">
                  <c:v>3139</c:v>
                </c:pt>
                <c:pt idx="1">
                  <c:v>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88D-4DE5-AC09-BF32DD3BE026}"/>
            </c:ext>
          </c:extLst>
        </c:ser>
        <c:ser>
          <c:idx val="5"/>
          <c:order val="5"/>
          <c:tx>
            <c:strRef>
              <c:f>Complaints!$G$53</c:f>
              <c:strCache>
                <c:ptCount val="1"/>
                <c:pt idx="0">
                  <c:v>2022-23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95-4148-8E25-3A4E53F49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Complaints!$A$54:$A$55</c:f>
              <c:strCache>
                <c:ptCount val="2"/>
                <c:pt idx="0">
                  <c:v>2021-22</c:v>
                </c:pt>
                <c:pt idx="1">
                  <c:v>2022-23</c:v>
                </c:pt>
              </c:strCache>
            </c:strRef>
          </c:cat>
          <c:val>
            <c:numRef>
              <c:f>Complaints!$G$54:$G$55</c:f>
              <c:numCache>
                <c:formatCode>General</c:formatCode>
                <c:ptCount val="2"/>
                <c:pt idx="0">
                  <c:v>0</c:v>
                </c:pt>
                <c:pt idx="1">
                  <c:v>2280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88D-4DE5-AC09-BF32DD3BE02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22660703"/>
        <c:axId val="1722659455"/>
      </c:barChart>
      <c:catAx>
        <c:axId val="17226607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659455"/>
        <c:crosses val="autoZero"/>
        <c:auto val="1"/>
        <c:lblAlgn val="ctr"/>
        <c:lblOffset val="100"/>
        <c:noMultiLvlLbl val="0"/>
      </c:catAx>
      <c:valAx>
        <c:axId val="1722659455"/>
        <c:scaling>
          <c:orientation val="minMax"/>
          <c:max val="5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22660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07766336900195"/>
          <c:y val="0.95174104181901664"/>
          <c:w val="0.62184467326199611"/>
          <c:h val="4.8258958180983316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0.67147</cdr:x>
      <cdr:y>0.36276</cdr:y>
    </cdr:from>
    <cdr:to>
      <cdr:x>0.77244</cdr:x>
      <cdr:y>0.39921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990974" y="1800225"/>
          <a:ext cx="600075" cy="18084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CI-OIC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Coté</dc:creator>
  <cp:keywords/>
  <dc:description/>
  <cp:lastModifiedBy>Josée Brouillette</cp:lastModifiedBy>
  <cp:revision>2</cp:revision>
  <dcterms:created xsi:type="dcterms:W3CDTF">2023-03-07T16:33:00Z</dcterms:created>
  <dcterms:modified xsi:type="dcterms:W3CDTF">2023-03-07T16:33:00Z</dcterms:modified>
</cp:coreProperties>
</file>