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3"/>
        <w:ind w:left="108" w:right="-104"/>
        <w:jc w:val="center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</w:rPr>
        <w:t>Brief from Dean Beeby submitted to Treasury Board Secretariat for</w:t>
      </w:r>
      <w:r w:rsidRPr="00C73197">
        <w:rPr>
          <w:rFonts w:cs="Cambria Italic"/>
          <w:b/>
          <w:bCs/>
          <w:spacing w:val="-60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its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public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consultation</w:t>
      </w:r>
      <w:r w:rsidRPr="00C73197">
        <w:rPr>
          <w:rFonts w:cs="Cambria Italic"/>
          <w:b/>
          <w:bCs/>
          <w:spacing w:val="-1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on</w:t>
      </w:r>
      <w:r w:rsidRPr="00C73197">
        <w:rPr>
          <w:rFonts w:cs="Cambria Italic"/>
          <w:b/>
          <w:bCs/>
          <w:spacing w:val="-1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the</w:t>
      </w:r>
      <w:r w:rsidRPr="00C73197">
        <w:rPr>
          <w:rFonts w:cs="Cambria Italic"/>
          <w:b/>
          <w:bCs/>
          <w:spacing w:val="-1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Access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to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Information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Act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review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b/>
          <w:bCs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8" w:right="-106"/>
        <w:jc w:val="center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May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27,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2021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6"/>
        <w:ind w:left="105" w:right="-65"/>
        <w:rPr>
          <w:rFonts w:cs="Cambria Italic"/>
          <w:kern w:val="1"/>
        </w:rPr>
      </w:pPr>
      <w:r w:rsidRPr="00C73197">
        <w:rPr>
          <w:rFonts w:cs="Cambria Italic"/>
          <w:kern w:val="1"/>
        </w:rPr>
        <w:t>The Access to Information Act (ATIA) and its administration have been significantly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critiqued more than a dozen times since the law came into force in 1983. </w:t>
      </w:r>
      <w:proofErr w:type="gramStart"/>
      <w:r w:rsidRPr="00C73197">
        <w:rPr>
          <w:rFonts w:cs="Cambria Italic"/>
          <w:kern w:val="1"/>
        </w:rPr>
        <w:t>These in-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depth analyses have been carried out by information commissioners, a government-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appointed task force, Parliamentary committees and the government itself</w:t>
      </w:r>
      <w:proofErr w:type="gramEnd"/>
      <w:r w:rsidRPr="00C73197">
        <w:rPr>
          <w:rFonts w:cs="Cambria Italic"/>
          <w:kern w:val="1"/>
        </w:rPr>
        <w:t>, among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others. They each have identified the same basic weaknesses, proposed similar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solutions, and they each have been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largely ignored. So it’s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with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sense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of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resignation that I submit yet another account of the Act’s weaknesses, and yet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another assessment of failures in its administration. Governments, chronically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allergic to transparency, appear to welcome these repeated exercises as yet another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opportunity to delay and dodge. The review process becomes a reset button rather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than a diligent re-assessment of problems and solutions identified over the last 38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years.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119"/>
        <w:rPr>
          <w:rFonts w:cs="Cambria Italic"/>
          <w:kern w:val="1"/>
        </w:rPr>
      </w:pPr>
      <w:r w:rsidRPr="00C73197">
        <w:rPr>
          <w:rFonts w:cs="Cambria Italic"/>
          <w:kern w:val="1"/>
        </w:rPr>
        <w:t>Treasury Board’s latest review is legislatively driven. Bill C-58, which received Royal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Assent in June 2019, requires a review of the legislation within one year but is silent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on a deadline for a report or action. Treasury Board officially announced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mandatory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review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just days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before the one-year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period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was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expire.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28"/>
        <w:rPr>
          <w:rFonts w:cs="Cambria Italic"/>
          <w:kern w:val="1"/>
        </w:rPr>
      </w:pPr>
      <w:r w:rsidRPr="00C73197">
        <w:rPr>
          <w:rFonts w:cs="Cambria Italic"/>
          <w:kern w:val="1"/>
        </w:rPr>
        <w:t>Since the so-called “launch” of the review on June 18, 2020, Treasury Board has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taken an inordinate amount of time to act (despite a year’s notice that a review was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required). A public-consultation process was promised at the “launch.” That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promise was repeated Sept. 22, 2020. Treasury Board finally announced an actual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public consultation (i.e., an online process) on March 31, 2021, nine months after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the “launch.” Treasury Board has also said its report for the review, which is not the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end of the process but only the middle, will not appear until January 2022.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languid pace mirrors the delay-plagued Access to Information process itself, and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suggests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reform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is once again a low government priority.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96"/>
        <w:rPr>
          <w:rFonts w:cs="Cambria Italic"/>
          <w:kern w:val="1"/>
        </w:rPr>
      </w:pPr>
      <w:r w:rsidRPr="00C73197">
        <w:rPr>
          <w:rFonts w:cs="Cambria Italic"/>
          <w:kern w:val="1"/>
        </w:rPr>
        <w:t>Treasury Board’s consultation webpage contains a facile list of “issues” on which the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government is seeking public input. For example: “Tell us your thoughts on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process of submitting an access to information request – what works and what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doesn’t?” The open-ended, unfocused invitation suggests a check-the-box exercise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rather than informed dialogue. Surely a government intent on fixing the problem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could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find more probing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questions after a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year of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preparation?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29"/>
        <w:rPr>
          <w:rFonts w:cs="Cambria Italic"/>
          <w:kern w:val="1"/>
        </w:rPr>
      </w:pPr>
      <w:r w:rsidRPr="00C73197">
        <w:rPr>
          <w:rFonts w:cs="Cambria Italic"/>
          <w:kern w:val="1"/>
        </w:rPr>
        <w:t>I am a long-serving journalist (The Canadian Press, 31 years; CBC, 5 years), so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observations and recommendations that follow arise from the day-to-day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experience of a working reporter. I also recognize and support the legitimate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interests of other types of requesters, including Indigenous peoples, human-rights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advocates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and environmental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NGOs. Indeed, there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is no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conflict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between </w:t>
      </w:r>
      <w:proofErr w:type="gramStart"/>
      <w:r w:rsidRPr="00C73197">
        <w:rPr>
          <w:rFonts w:cs="Cambria Italic"/>
          <w:kern w:val="1"/>
        </w:rPr>
        <w:t>their</w:t>
      </w:r>
      <w:proofErr w:type="gramEnd"/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8"/>
        <w:ind w:left="105" w:right="-100"/>
        <w:rPr>
          <w:rFonts w:cs="Cambria Italic"/>
          <w:kern w:val="1"/>
        </w:rPr>
      </w:pPr>
      <w:proofErr w:type="gramStart"/>
      <w:r w:rsidRPr="00C73197">
        <w:rPr>
          <w:rFonts w:cs="Cambria Italic"/>
          <w:kern w:val="1"/>
        </w:rPr>
        <w:lastRenderedPageBreak/>
        <w:t>demands</w:t>
      </w:r>
      <w:proofErr w:type="gramEnd"/>
      <w:r w:rsidRPr="00C73197">
        <w:rPr>
          <w:rFonts w:cs="Cambria Italic"/>
          <w:kern w:val="1"/>
        </w:rPr>
        <w:t xml:space="preserve"> and my own – we are all united in seeking a truly open federal government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that responds with alacrity to information requests from all its citizens. The current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prime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minister</w:t>
      </w:r>
      <w:r w:rsidRPr="00C73197">
        <w:rPr>
          <w:rFonts w:cs="Cambria Italic"/>
          <w:spacing w:val="3"/>
          <w:kern w:val="1"/>
        </w:rPr>
        <w:t xml:space="preserve"> </w:t>
      </w:r>
      <w:r w:rsidRPr="00C73197">
        <w:rPr>
          <w:rFonts w:cs="Cambria Italic"/>
          <w:kern w:val="1"/>
        </w:rPr>
        <w:t>recognized</w:t>
      </w:r>
      <w:r w:rsidRPr="00C73197">
        <w:rPr>
          <w:rFonts w:cs="Cambria Italic"/>
          <w:spacing w:val="4"/>
          <w:kern w:val="1"/>
        </w:rPr>
        <w:t xml:space="preserve"> </w:t>
      </w:r>
      <w:r w:rsidRPr="00C73197">
        <w:rPr>
          <w:rFonts w:cs="Cambria Italic"/>
          <w:kern w:val="1"/>
        </w:rPr>
        <w:t>this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aspiration</w:t>
      </w:r>
      <w:r w:rsidRPr="00C73197">
        <w:rPr>
          <w:rFonts w:cs="Cambria Italic"/>
          <w:spacing w:val="3"/>
          <w:kern w:val="1"/>
        </w:rPr>
        <w:t xml:space="preserve"> </w:t>
      </w:r>
      <w:r w:rsidRPr="00C73197">
        <w:rPr>
          <w:rFonts w:cs="Cambria Italic"/>
          <w:kern w:val="1"/>
        </w:rPr>
        <w:t>when</w:t>
      </w:r>
      <w:r w:rsidRPr="00C73197">
        <w:rPr>
          <w:rFonts w:cs="Cambria Italic"/>
          <w:spacing w:val="5"/>
          <w:kern w:val="1"/>
        </w:rPr>
        <w:t xml:space="preserve"> </w:t>
      </w:r>
      <w:r w:rsidRPr="00C73197">
        <w:rPr>
          <w:rFonts w:cs="Cambria Italic"/>
          <w:kern w:val="1"/>
        </w:rPr>
        <w:t>he</w:t>
      </w:r>
      <w:r w:rsidRPr="00C73197">
        <w:rPr>
          <w:rFonts w:cs="Cambria Italic"/>
          <w:spacing w:val="3"/>
          <w:kern w:val="1"/>
        </w:rPr>
        <w:t xml:space="preserve"> </w:t>
      </w:r>
      <w:r w:rsidRPr="00C73197">
        <w:rPr>
          <w:rFonts w:cs="Cambria Italic"/>
          <w:kern w:val="1"/>
        </w:rPr>
        <w:t>said</w:t>
      </w:r>
      <w:r w:rsidRPr="00C73197">
        <w:rPr>
          <w:rFonts w:cs="Cambria Italic"/>
          <w:spacing w:val="4"/>
          <w:kern w:val="1"/>
        </w:rPr>
        <w:t xml:space="preserve"> </w:t>
      </w:r>
      <w:r w:rsidRPr="00C73197">
        <w:rPr>
          <w:rFonts w:cs="Cambria Italic"/>
          <w:kern w:val="1"/>
        </w:rPr>
        <w:t>government</w:t>
      </w:r>
      <w:r w:rsidRPr="00C73197">
        <w:rPr>
          <w:rFonts w:cs="Cambria Italic"/>
          <w:spacing w:val="3"/>
          <w:kern w:val="1"/>
        </w:rPr>
        <w:t xml:space="preserve"> </w:t>
      </w:r>
      <w:r w:rsidRPr="00C73197">
        <w:rPr>
          <w:rFonts w:cs="Cambria Italic"/>
          <w:kern w:val="1"/>
        </w:rPr>
        <w:t>should</w:t>
      </w:r>
      <w:r w:rsidRPr="00C73197">
        <w:rPr>
          <w:rFonts w:cs="Cambria Italic"/>
          <w:spacing w:val="3"/>
          <w:kern w:val="1"/>
        </w:rPr>
        <w:t xml:space="preserve"> </w:t>
      </w:r>
      <w:r w:rsidRPr="00C73197">
        <w:rPr>
          <w:rFonts w:cs="Cambria Italic"/>
          <w:kern w:val="1"/>
        </w:rPr>
        <w:t>be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“open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by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default.”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0"/>
        <w:rPr>
          <w:rFonts w:cs="Cambria Italic"/>
          <w:kern w:val="1"/>
        </w:rPr>
      </w:pPr>
      <w:r w:rsidRPr="00C73197">
        <w:rPr>
          <w:rFonts w:cs="Cambria Italic"/>
          <w:kern w:val="1"/>
        </w:rPr>
        <w:t>The federal Access to Information Act chronically fails to deliver timely responses,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especially in areas vital to public discourse, such as health and safety information.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Journalists routinely wait months and years for responses to simple requests,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responses that are often so heavily redacted as to be meaningless. The most recent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Treasury Board statistics (2019-2020) show that one-third of responses now are in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“deemed refusal,” that is either delivered beyond the 30-day deadline in the Act 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delivered after the extension date an institution has unilaterally given itself.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number of “deemed refusals” has increased year after year, with no sanctions 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penalties imposed on institutions that violate the law in this way. (The inadequate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method used by Treasury Board to collect statistics on “deemed refusals” under-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counts the true numbers, so the extent of unjustified delays is actually worse than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officially reported.) For journalists responsible for informing Canadians about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current events, these delays are often fatal to their work. Stale information about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long-ago government actions often makes it impossible to avoid or fix problems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with policy, programs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or spending.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85"/>
        <w:rPr>
          <w:rFonts w:cs="Cambria Italic"/>
          <w:kern w:val="1"/>
        </w:rPr>
      </w:pPr>
      <w:r w:rsidRPr="00C73197">
        <w:rPr>
          <w:rFonts w:cs="Cambria Italic"/>
          <w:kern w:val="1"/>
        </w:rPr>
        <w:t>Complaints to the Information Commissioner of Canada (ICC) are also subject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enormous delays, as that office struggles with a growing backlog. There are too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many documented cases in which the ICC has not reported findings on a complaint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until 10 years or more after it was made. Journalists routinely must wait nine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months and more for an ICC investigation to conclude. The office remains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understaffed</w:t>
      </w:r>
      <w:r w:rsidRPr="00C73197">
        <w:rPr>
          <w:rFonts w:cs="Cambria Italic"/>
          <w:spacing w:val="-5"/>
          <w:kern w:val="1"/>
        </w:rPr>
        <w:t xml:space="preserve"> </w:t>
      </w:r>
      <w:r w:rsidRPr="00C73197">
        <w:rPr>
          <w:rFonts w:cs="Cambria Italic"/>
          <w:kern w:val="1"/>
        </w:rPr>
        <w:t>and,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equally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concerning,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not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subject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any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legislated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deadlines</w:t>
      </w:r>
      <w:r w:rsidRPr="00C73197">
        <w:rPr>
          <w:rFonts w:cs="Cambria Italic"/>
          <w:spacing w:val="-5"/>
          <w:kern w:val="1"/>
        </w:rPr>
        <w:t xml:space="preserve"> </w:t>
      </w:r>
      <w:r w:rsidRPr="00C73197">
        <w:rPr>
          <w:rFonts w:cs="Cambria Italic"/>
          <w:kern w:val="1"/>
        </w:rPr>
        <w:t>for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its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investigations.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28"/>
        <w:rPr>
          <w:rFonts w:cs="Cambria Italic"/>
          <w:kern w:val="1"/>
        </w:rPr>
      </w:pPr>
      <w:r w:rsidRPr="00C73197">
        <w:rPr>
          <w:rFonts w:cs="Cambria Italic"/>
          <w:kern w:val="1"/>
        </w:rPr>
        <w:t>The records journalists do receive are often blacked out based on spurious claims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that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they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are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“advice,”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security-related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or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based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on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other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too-broad exemptions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and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exclusions in the Act. The government’s claim to be “open by default” has become a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cruel joke in the journalism profession. Every day, reporters in the news trenches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are reminded that government information is “secret by default,” especially during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COVID-19 health emergency.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line="237" w:lineRule="auto"/>
        <w:ind w:left="105" w:right="595"/>
        <w:rPr>
          <w:rFonts w:cs="Cambria Italic"/>
          <w:kern w:val="1"/>
        </w:rPr>
      </w:pPr>
      <w:r w:rsidRPr="00C73197">
        <w:rPr>
          <w:rFonts w:cs="Cambria Italic"/>
          <w:kern w:val="1"/>
        </w:rPr>
        <w:t>Here then is a checklist of fundamental flaws in the existing legislation and its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administration,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and the remedies: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Cabinet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confidences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(Section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69)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6"/>
        <w:ind w:left="105" w:right="87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Section 69 of the Act protects “cabinet confidences” for 20 years by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excluding them from the reach of the legislation, and from the investigative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authority of the Information Commissioner of Canada. </w:t>
      </w:r>
      <w:proofErr w:type="gramStart"/>
      <w:r w:rsidRPr="00C73197">
        <w:rPr>
          <w:rFonts w:cs="Cambria Italic"/>
          <w:kern w:val="1"/>
        </w:rPr>
        <w:t>This loophole has long been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exploited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by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government,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with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increasing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regularity,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a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safe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refuge</w:t>
      </w:r>
      <w:proofErr w:type="gramEnd"/>
      <w:r w:rsidRPr="00C73197">
        <w:rPr>
          <w:rFonts w:cs="Cambria Italic"/>
          <w:kern w:val="1"/>
        </w:rPr>
        <w:t>.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For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example,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8"/>
        <w:ind w:left="105" w:right="-49"/>
        <w:rPr>
          <w:rFonts w:cs="Cambria Italic"/>
          <w:kern w:val="1"/>
        </w:rPr>
      </w:pPr>
      <w:r w:rsidRPr="00C73197">
        <w:rPr>
          <w:rFonts w:cs="Cambria Italic"/>
          <w:kern w:val="1"/>
        </w:rPr>
        <w:t>Section 69 was invoked 4,660 times in 2018-2019, a level that is 50 per cent higher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than five years earlier. A declaration by government that a requested record is a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cabinet confidence is unassailable. The ICC cannot challenge the claim, cannot even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inspect the records. The cards are thus stacked against requestors. Many journalists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are resigned to restricting their requests only to those records not considered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cabinet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confidences,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order to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expedite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processing.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86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Decision- and policy-making by cabinet is at the core of Canada’s federal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government. Cabinet cannot remain a black box if “open by default” is to have any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meaning. Cabinet records must shed their umbrella protection from the Act, and be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made subject to requests and to complaint investigations by the ICC.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government could still invoke the existing exemption clauses in the Act to protect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cabinet information, but should no longer enjoy a free pass from legally justifying its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decisions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withhold.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2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Advice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(Section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21)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b/>
          <w:bCs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ind w:left="105" w:right="-70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The notorious Section 21, the “advice” exemption of the Act, has been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abused for decades. The exemption has been invoked repeatedly to withhold public-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opinion surveys, economic forecasts, background information and other records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that by no stretch can be construed as “advice.” As in Section 69, too many public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officials regard the exemption as a handy </w:t>
      </w:r>
      <w:proofErr w:type="gramStart"/>
      <w:r w:rsidRPr="00C73197">
        <w:rPr>
          <w:rFonts w:cs="Cambria Italic"/>
          <w:kern w:val="1"/>
        </w:rPr>
        <w:t>catch-all</w:t>
      </w:r>
      <w:proofErr w:type="gramEnd"/>
      <w:r w:rsidRPr="00C73197">
        <w:rPr>
          <w:rFonts w:cs="Cambria Italic"/>
          <w:kern w:val="1"/>
        </w:rPr>
        <w:t>, which can protect from scrutiny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the ordinary conduct of government. Section 21 was cited more than 8,700 times in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2019-2020 to justify withholding records from requestors, and the exemption is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cited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about one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third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of all the complaints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received by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ICC.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64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Abuse of Section 21 must be curtailed with more explicit language in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legislation defining what can and cannot be withheld. The list of record types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impervious to redaction must include factual materials, such as background papers,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surveys of opinion, economic data, databases, chronologies, inventories and the like.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Where the narrower protection for genuine “advice” is legitimately invoked,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Section 21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must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limit its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applicability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to no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more than five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years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after 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record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was created, and no protection at all in a case of overriding public interest such as a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health,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environmental or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safety threat.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29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Ministers’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offices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6"/>
        <w:ind w:left="105" w:right="71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In the 2015 election campaign, the current prime minister promised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“ensure that Access to Information applies to the Prime Minister’s and Ministers’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Offices.” Bill C-58, which purportedly enacted this commitment, in fact did no such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thing. Rather, the government established a proactive release schedule that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comprised only a subset of records related to ministers’ work. Indeed, almost all of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these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now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proactively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released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records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(briefing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note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titles,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briefing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books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and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8"/>
        <w:ind w:left="105" w:right="96"/>
        <w:rPr>
          <w:rFonts w:cs="Cambria Italic"/>
          <w:kern w:val="1"/>
        </w:rPr>
      </w:pPr>
      <w:r w:rsidRPr="00C73197">
        <w:rPr>
          <w:rFonts w:cs="Cambria Italic"/>
          <w:kern w:val="1"/>
        </w:rPr>
        <w:t>Question Period notes, for example), had never been classified as ministerial office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documents, and had already been accessible under the Access to Information Act.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Bill C-58 also prevented the Information Commissioner of Canada from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investigating failures and lapses in this proactive-release regime, thus carving out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another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safe space for unchallenged decisions and behavior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by the government.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0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The remedy for this failure is simple: close the loophole. The government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must fulfill its clear promise to Canadians to make ministers’ offices, including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prime minister’s office, subject to requests under the Access to Information Act. By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doing so, the Information Commissioner of Canada will also be authorized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investigate complaints.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3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Public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interest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override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6"/>
        <w:ind w:left="105" w:right="57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 xml:space="preserve">: The Access to Information Act has weak </w:t>
      </w:r>
      <w:proofErr w:type="gramStart"/>
      <w:r w:rsidRPr="00C73197">
        <w:rPr>
          <w:rFonts w:cs="Cambria Italic"/>
          <w:kern w:val="1"/>
        </w:rPr>
        <w:t>public-interest</w:t>
      </w:r>
      <w:proofErr w:type="gramEnd"/>
      <w:r w:rsidRPr="00C73197">
        <w:rPr>
          <w:rFonts w:cs="Cambria Italic"/>
          <w:kern w:val="1"/>
        </w:rPr>
        <w:t xml:space="preserve"> override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provisions, unlike most parallel legislation in Canada’s provinces and indeed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elsewhere in the world. COVID-19 has reminded Canadians how dependent their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health and safety is on timely access to uncensored government information about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life-threatening risks. Some jurisdictions compel public bodies to release such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information even in the absence of specific requests for it from the public or news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media. Conflicts between government confidentiality and imminent public threats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must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always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resolve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in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favour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of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public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safety.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And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yet,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Act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currently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written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defaults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“just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trust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us.”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13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The Act requires a general public-interest override clause that compels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public institutions to disclose information about significant risks to safety, health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and the environment, notwithstanding any other exemption or exclusion available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in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legislation.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1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Powers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of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the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Information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Commissioner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of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Canada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rPr>
          <w:rFonts w:cs="Cambria Italic"/>
          <w:b/>
          <w:bCs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96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 xml:space="preserve">Problem: </w:t>
      </w:r>
      <w:r w:rsidRPr="00C73197">
        <w:rPr>
          <w:rFonts w:cs="Cambria Italic"/>
          <w:kern w:val="1"/>
        </w:rPr>
        <w:t>Bill C-58 conferred limited order-making power on the Information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Commissioner of Canada. Orders from the commissioner lack the authority of a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federal judge’s order, can be challenged in federal court, and the case can be heard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“de novo,” allowing a federal institution to advance new secrecy arguments not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previously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provided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ICC.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Thus,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federal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institutions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opposed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disclosure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have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an attractive legal option to drag out the case for months or years. Indeed, some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institutions may be incentivized to withhold arguments from the ICC’s initial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investigation,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reserving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them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for a later federal case.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48"/>
        <w:rPr>
          <w:rFonts w:cs="Cambria Italic"/>
          <w:kern w:val="1"/>
        </w:rPr>
      </w:pPr>
      <w:r w:rsidRPr="00C73197">
        <w:rPr>
          <w:rFonts w:cs="Cambria Italic"/>
          <w:kern w:val="1"/>
        </w:rPr>
        <w:t>In addition, Bill C-58 excludes the ICC from policing the proactive-disclosure regime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set out in the new Part 2 of the Act. There is therefore no independent check on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recalcitrant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institutions </w:t>
      </w:r>
      <w:proofErr w:type="gramStart"/>
      <w:r w:rsidRPr="00C73197">
        <w:rPr>
          <w:rFonts w:cs="Cambria Italic"/>
          <w:kern w:val="1"/>
        </w:rPr>
        <w:t>who</w:t>
      </w:r>
      <w:proofErr w:type="gramEnd"/>
      <w:r w:rsidRPr="00C73197">
        <w:rPr>
          <w:rFonts w:cs="Cambria Italic"/>
          <w:kern w:val="1"/>
        </w:rPr>
        <w:t xml:space="preserve"> fail to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abide by the Act,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whether by withholding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8"/>
        <w:ind w:left="105" w:right="-122"/>
        <w:rPr>
          <w:rFonts w:cs="Cambria Italic"/>
          <w:kern w:val="1"/>
        </w:rPr>
      </w:pPr>
      <w:proofErr w:type="gramStart"/>
      <w:r w:rsidRPr="00C73197">
        <w:rPr>
          <w:rFonts w:cs="Cambria Italic"/>
          <w:kern w:val="1"/>
        </w:rPr>
        <w:t>records</w:t>
      </w:r>
      <w:proofErr w:type="gramEnd"/>
      <w:r w:rsidRPr="00C73197">
        <w:rPr>
          <w:rFonts w:cs="Cambria Italic"/>
          <w:kern w:val="1"/>
        </w:rPr>
        <w:t xml:space="preserve"> altogether or by ignoring legislated timelines. No Parliamentary 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independent government body is made responsible for overseeing and enforcing the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new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Part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2.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9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741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Provide true order-making power to the ICC by giving that office’s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decisions the effect of a federal judge’s order. Make the ICC responsible for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independent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review of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Part 2 of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 Act.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5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Delays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0"/>
        <w:ind w:left="105" w:right="-74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In 2019-2020, almost 50,000 requests made under the Access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Information Act were completed beyond legislated timelines, representing one of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every three requests completed that year. The Act requires institutions to provide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requested records within 30 days or within an extended deadline set by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institutions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themselves,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often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an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additional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90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days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or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more.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A third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of all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completed requests are now violating even these lax requirements. Journalists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especially struggle with this reality, unable to provide timely information on current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issues because of a chronically deficient access regime. Governments are not held to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account, and the </w:t>
      </w:r>
      <w:proofErr w:type="gramStart"/>
      <w:r w:rsidRPr="00C73197">
        <w:rPr>
          <w:rFonts w:cs="Cambria Italic"/>
          <w:kern w:val="1"/>
        </w:rPr>
        <w:t>public’s</w:t>
      </w:r>
      <w:proofErr w:type="gramEnd"/>
      <w:r w:rsidRPr="00C73197">
        <w:rPr>
          <w:rFonts w:cs="Cambria Italic"/>
          <w:kern w:val="1"/>
        </w:rPr>
        <w:t xml:space="preserve"> democratic right to participate in policy formation is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undermined. The problem is exacerbated by delays within the Office of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Information Commissioner of Canada. Complaints from requestors typically are not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even assigned to investigators for months, and final reports can take years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appear. As previous information commissioners themselves have declared, “Access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delayed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is access denied.”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43"/>
        <w:rPr>
          <w:rFonts w:cs="Cambria Italic"/>
          <w:kern w:val="1"/>
        </w:rPr>
      </w:pPr>
      <w:r w:rsidRPr="00C73197">
        <w:rPr>
          <w:rFonts w:cs="Cambria Italic"/>
          <w:kern w:val="1"/>
        </w:rPr>
        <w:t>In recent years, many delays have been attributed to excessive consultations with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other federal institutions. Such consultations are often open-ended, as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originating body does not police delays caused by the negligence of the consulted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body. Currently, consultations with other institutions are cited for about half of all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time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extensions taken under the Act, a level that has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been rising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each year.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-111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Solutions</w:t>
      </w:r>
      <w:r w:rsidRPr="00C73197">
        <w:rPr>
          <w:rFonts w:cs="Cambria Italic"/>
          <w:kern w:val="1"/>
        </w:rPr>
        <w:t>: The Act contains no reference to sanctions, penalties or adverse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consequences for institutions that violate legislated deadlines. The legislation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urgently requires amendments to reduce chronic delays. First, institutions that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violate deadlines must forfeit the ability to invoke any of the Act’s non-mandatory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exemptions to withhold records. Second, there must be legislated limits on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ability of institutions to initiate a consultation, restricting the measure to cases in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which there are legal, security and safety issues. Third, if a consultation is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undertaken, a time limit of 30 days must be imposed after which the consulted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department loses its ability to request non-disclosure of records. Fourth, institutions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found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have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violated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legislated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deadlines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must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be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fined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sufficient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dollar</w:t>
      </w:r>
      <w:r w:rsidRPr="00C73197">
        <w:rPr>
          <w:rFonts w:cs="Cambria Italic"/>
          <w:spacing w:val="2"/>
          <w:kern w:val="1"/>
        </w:rPr>
        <w:t xml:space="preserve"> </w:t>
      </w:r>
      <w:r w:rsidRPr="00C73197">
        <w:rPr>
          <w:rFonts w:cs="Cambria Italic"/>
          <w:kern w:val="1"/>
        </w:rPr>
        <w:t>amounts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to discourage the practice, with such fines made public quarterly (and proceeds paid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to the Office of the Information Commissioner of Canada to support the office’s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general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investigative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activities).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Fifth,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ICC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itself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must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subject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deadlines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for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8"/>
        <w:ind w:left="105" w:right="262"/>
        <w:rPr>
          <w:rFonts w:cs="Cambria Italic"/>
          <w:kern w:val="1"/>
        </w:rPr>
      </w:pPr>
      <w:proofErr w:type="gramStart"/>
      <w:r w:rsidRPr="00C73197">
        <w:rPr>
          <w:rFonts w:cs="Cambria Italic"/>
          <w:kern w:val="1"/>
        </w:rPr>
        <w:t>completion</w:t>
      </w:r>
      <w:proofErr w:type="gramEnd"/>
      <w:r w:rsidRPr="00C73197">
        <w:rPr>
          <w:rFonts w:cs="Cambria Italic"/>
          <w:kern w:val="1"/>
        </w:rPr>
        <w:t xml:space="preserve"> of investigations, albeit with the ability to invoke reasonable time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extensions. Legislated deadlines for this office would allow complainants who do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not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receive a timely report to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go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directly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Federal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Court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 seek a remedy.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line="242" w:lineRule="auto"/>
        <w:ind w:left="105" w:right="238"/>
        <w:rPr>
          <w:rFonts w:cs="Cambria Italic"/>
          <w:kern w:val="1"/>
        </w:rPr>
      </w:pPr>
      <w:r w:rsidRPr="00C73197">
        <w:rPr>
          <w:rFonts w:cs="Cambria Italic"/>
          <w:kern w:val="1"/>
        </w:rPr>
        <w:t>Currently, open-ended and years’-long ICC investigations preclude complainants’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timely access to the justice system because the Act requires the ICC to file a final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report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first.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Duty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to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document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(and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preserve)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6"/>
        <w:ind w:left="105" w:right="-53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Motivated partly by the existence of the Access to Information Act, some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public servants and government officials decline to properly document actions and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decisions for fear of adverse exposure. Digital technology has also enhanced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opportunities to make public records vanish, such as emails, text messages, meeting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notes,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etc.,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records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that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are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often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essential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for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holding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public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officials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accountable.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80"/>
        <w:rPr>
          <w:rFonts w:cs="Cambria Italic"/>
          <w:kern w:val="1"/>
        </w:rPr>
      </w:pPr>
      <w:r w:rsidRPr="00C73197">
        <w:rPr>
          <w:rFonts w:cs="Cambria Italic"/>
          <w:kern w:val="1"/>
        </w:rPr>
        <w:t>Section 67.1 (1) provides for sentences and fines for destroying, falsifying 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concealing records, but has a high threshold for conviction, that is, criminal intent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must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be proved. No charges have ever been laid under this section.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15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The Act must be amended to compel government officials and employees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to routinely document their actions and decisions, on pain of fines for failure to do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so, regardless of whether the relevant records are the </w:t>
      </w:r>
      <w:proofErr w:type="gramStart"/>
      <w:r w:rsidRPr="00C73197">
        <w:rPr>
          <w:rFonts w:cs="Cambria Italic"/>
          <w:kern w:val="1"/>
        </w:rPr>
        <w:t>subject</w:t>
      </w:r>
      <w:proofErr w:type="gramEnd"/>
      <w:r w:rsidRPr="00C73197">
        <w:rPr>
          <w:rFonts w:cs="Cambria Italic"/>
          <w:kern w:val="1"/>
        </w:rPr>
        <w:t xml:space="preserve"> of an Access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Information Act request. Further, Section 67.1 (1) must be amended to include a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class of offences referring to any mere act of destruction, falsification 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concealment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of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records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without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necessary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regard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intent,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punishable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by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fines.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0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Schedule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II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–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The</w:t>
      </w:r>
      <w:r w:rsidRPr="00C73197">
        <w:rPr>
          <w:rFonts w:cs="Cambria Italic"/>
          <w:b/>
          <w:bCs/>
          <w:spacing w:val="-1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notorious</w:t>
      </w:r>
      <w:r w:rsidRPr="00C73197">
        <w:rPr>
          <w:rFonts w:cs="Cambria Italic"/>
          <w:b/>
          <w:bCs/>
          <w:spacing w:val="-3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opt-out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list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6"/>
        <w:ind w:left="105" w:right="-100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Section 24(1) of the Access to Information Act creates a long list of opt-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outs. That is, institutions are required to withhold requested information if </w:t>
      </w:r>
      <w:proofErr w:type="gramStart"/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release is prohibited by a particular statute on the list</w:t>
      </w:r>
      <w:proofErr w:type="gramEnd"/>
      <w:r w:rsidRPr="00C73197">
        <w:rPr>
          <w:rFonts w:cs="Cambria Italic"/>
          <w:kern w:val="1"/>
        </w:rPr>
        <w:t>. Information commissioners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have raised red flags about the Section 24(1) list since 1986, with John Grace calling</w:t>
      </w:r>
      <w:r w:rsidRPr="00C73197">
        <w:rPr>
          <w:rFonts w:cs="Cambria Italic"/>
          <w:spacing w:val="1"/>
          <w:kern w:val="1"/>
        </w:rPr>
        <w:t xml:space="preserve"> </w:t>
      </w:r>
      <w:proofErr w:type="gramStart"/>
      <w:r w:rsidRPr="00C73197">
        <w:rPr>
          <w:rFonts w:cs="Cambria Italic"/>
          <w:kern w:val="1"/>
        </w:rPr>
        <w:t>it a “</w:t>
      </w:r>
      <w:proofErr w:type="gramEnd"/>
      <w:r w:rsidRPr="00C73197">
        <w:rPr>
          <w:rFonts w:cs="Cambria Italic"/>
          <w:kern w:val="1"/>
        </w:rPr>
        <w:t>back door” derogation from access rights. There were 33 statutes listed in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Act in 1983, citing 40 kinds of information impervious to access requests. Today, the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list has almost doubled, to 65 statutes referring to 102 kinds of information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prohibited from release. Section 24(1) prohibitions too often appear in new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legislation, without having undergone proper scrutiny by Parliament. This form of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creeping censorship has expanded for almost four decades, until its substantial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accumulation today.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9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ind w:left="105" w:right="-2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Existing exemptions in the Act are sufficient to safeguard the information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protected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by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Section 24(1).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The section and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list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must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be eliminated.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83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Machine-readable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(digital)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records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9"/>
        <w:rPr>
          <w:rFonts w:cs="Cambria Italic"/>
          <w:b/>
          <w:bCs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6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ATIA-based reporting on public issues is often thwarted by an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institution’s failure to provide digital records, including databases, in their original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machine-readable, searchable formats. Too often, the digital records provided are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mere optical scans that cannot be readily interrogated by computer. In May 2016,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the Treasury Board president recognized this persistent problem by issuing a weak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 xml:space="preserve">directive to all institutions that </w:t>
      </w:r>
      <w:proofErr w:type="gramStart"/>
      <w:r w:rsidRPr="00C73197">
        <w:rPr>
          <w:rFonts w:cs="Cambria Italic"/>
          <w:kern w:val="1"/>
        </w:rPr>
        <w:t>said</w:t>
      </w:r>
      <w:proofErr w:type="gramEnd"/>
      <w:r w:rsidRPr="00C73197">
        <w:rPr>
          <w:rFonts w:cs="Cambria Italic"/>
          <w:kern w:val="1"/>
        </w:rPr>
        <w:t xml:space="preserve"> “when privacy, confidentiality and security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considerations would not be compromised and it would not be unreasonable or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impractical to do so, provide records in the format requests by the requestor,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including machine-readable and reusable formats.” The problem has persisted over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the last five years, despite the directive, with numerous journalists battling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institutions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for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digital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records in machine-readable formats.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ind w:left="105" w:right="487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Embed language in the Act itself that compels institutions to provide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requestors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with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fully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machine-readable formats when requested.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3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The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outsourcing</w:t>
      </w:r>
      <w:r w:rsidRPr="00C73197">
        <w:rPr>
          <w:rFonts w:cs="Cambria Italic"/>
          <w:b/>
          <w:bCs/>
          <w:spacing w:val="-5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loophole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5"/>
        <w:ind w:left="105" w:right="60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Governments often outsource the delivery of programs and services to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private-sector businesses and non-governmental agencies. Such transfers of public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funds and operations have the corollary effect of drawing a veil over records that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document the activity, because the outsourced work is then considered beyond the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ambit of the Access to Information Act. Journalists who would normally use the Act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to hold institutions accountable for the provision of public services can no longer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access relevant records now held by a business or agency. Much of this outsourced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work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impacts the health and safety of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Canadians, and the environment.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ind w:left="105" w:right="201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Amend the Act to broaden its scope to cover any entity that delivers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government goods, services and programs through outsourcing, or that delivers a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government-authorized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public mandate.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7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ind w:left="105"/>
        <w:rPr>
          <w:rFonts w:cs="Cambria Italic"/>
          <w:b/>
          <w:bCs/>
          <w:kern w:val="1"/>
        </w:rPr>
      </w:pPr>
      <w:r w:rsidRPr="00C73197">
        <w:rPr>
          <w:rFonts w:cs="Cambria Italic"/>
          <w:b/>
          <w:bCs/>
          <w:kern w:val="1"/>
        </w:rPr>
        <w:t>Retention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of</w:t>
      </w:r>
      <w:r w:rsidRPr="00C73197">
        <w:rPr>
          <w:rFonts w:cs="Cambria Italic"/>
          <w:b/>
          <w:bCs/>
          <w:spacing w:val="-4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ATIA</w:t>
      </w:r>
      <w:r w:rsidRPr="00C73197">
        <w:rPr>
          <w:rFonts w:cs="Cambria Italic"/>
          <w:b/>
          <w:bCs/>
          <w:spacing w:val="-2"/>
          <w:kern w:val="1"/>
        </w:rPr>
        <w:t xml:space="preserve"> </w:t>
      </w:r>
      <w:r w:rsidRPr="00C73197">
        <w:rPr>
          <w:rFonts w:cs="Cambria Italic"/>
          <w:b/>
          <w:bCs/>
          <w:kern w:val="1"/>
        </w:rPr>
        <w:t>releases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81"/>
        <w:ind w:left="105" w:right="-103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Problem</w:t>
      </w:r>
      <w:r w:rsidRPr="00C73197">
        <w:rPr>
          <w:rFonts w:cs="Cambria Italic"/>
          <w:kern w:val="1"/>
        </w:rPr>
        <w:t>: Previously released access-to-information files can be an important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source of information for journalists and others. These documents, which can be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accessed informally, can also help reduce the need to file Access to Information Act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requests, alleviating the administrative burden on federal institutions. The federal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online database listing metadata for previously released ATIA package was begun in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2012, yet older listings have been deleted so that the database contain only the most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recent two years’ of listings. The policy is counterproductive, undermining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usefulness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of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this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tool.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90" w:line="237" w:lineRule="auto"/>
        <w:ind w:left="105" w:right="302"/>
        <w:rPr>
          <w:rFonts w:cs="Cambria Italic"/>
          <w:kern w:val="1"/>
        </w:rPr>
      </w:pPr>
      <w:r w:rsidRPr="00C73197">
        <w:rPr>
          <w:rFonts w:cs="Cambria Italic"/>
          <w:b/>
          <w:bCs/>
          <w:kern w:val="1"/>
        </w:rPr>
        <w:t>Solution</w:t>
      </w:r>
      <w:r w:rsidRPr="00C73197">
        <w:rPr>
          <w:rFonts w:cs="Cambria Italic"/>
          <w:kern w:val="1"/>
        </w:rPr>
        <w:t>: Permanently restore the database listings to at least 2012, and begin a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process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to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post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online the records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themselves, rather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than just 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metadata.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90"/>
        <w:ind w:left="105" w:right="-84"/>
        <w:rPr>
          <w:rFonts w:cs="Cambria Italic"/>
          <w:kern w:val="1"/>
        </w:rPr>
      </w:pPr>
      <w:r w:rsidRPr="00C73197">
        <w:rPr>
          <w:rFonts w:cs="Cambria Italic"/>
          <w:kern w:val="1"/>
        </w:rPr>
        <w:t>The government claims that “openness, transparency and accountability are guiding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principles,” yet the centerpiece legislation intended to deliver those results – the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Access to Information Act – has been allowed to deteriorate through decades of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neglect. The Bill C-58 amendments of June 2019 did little to fix flaws in the access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regime, and indeed exacerbated some of those flaws. Former information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commissioner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Suzanne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Legault called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the bill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a “regression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of existing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rights.”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0"/>
        <w:rPr>
          <w:rFonts w:cs="Cambria Italic"/>
          <w:kern w:val="1"/>
        </w:rPr>
      </w:pP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"/>
        <w:ind w:left="105" w:right="-94"/>
        <w:rPr>
          <w:rFonts w:cs="Cambria Italic"/>
          <w:kern w:val="1"/>
        </w:rPr>
      </w:pPr>
      <w:r w:rsidRPr="00C73197">
        <w:rPr>
          <w:rFonts w:cs="Cambria Italic"/>
          <w:kern w:val="1"/>
        </w:rPr>
        <w:t>Canada’s access-to-information regime was thus at its weakest point in the last four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decades just as COVID-19 hit – a health emergency that requires greater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transparency, not less. One year ago, the current information commissioner,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Caroline Maynard, warned the access regime was in such dire straits it “may soon be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beyond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repair.”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230"/>
        <w:ind w:left="105" w:right="-96"/>
        <w:rPr>
          <w:rFonts w:cs="Cambria Italic"/>
          <w:kern w:val="1"/>
        </w:rPr>
      </w:pPr>
      <w:r w:rsidRPr="00C73197">
        <w:rPr>
          <w:rFonts w:cs="Times New Roman"/>
          <w:kern w:val="1"/>
        </w:rPr>
        <w:t xml:space="preserve">I </w:t>
      </w:r>
      <w:r w:rsidRPr="00C73197">
        <w:rPr>
          <w:rFonts w:cs="Cambria Italic"/>
          <w:kern w:val="1"/>
        </w:rPr>
        <w:t>do not view the law and its administration as beyond repair. The demands above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chart a reasonable path back to transparency, openness and accountability. What is</w:t>
      </w:r>
      <w:r w:rsidRPr="00C73197">
        <w:rPr>
          <w:rFonts w:cs="Cambria Italic"/>
          <w:spacing w:val="1"/>
          <w:kern w:val="1"/>
        </w:rPr>
        <w:t xml:space="preserve"> </w:t>
      </w:r>
      <w:r w:rsidRPr="00C73197">
        <w:rPr>
          <w:rFonts w:cs="Cambria Italic"/>
          <w:kern w:val="1"/>
        </w:rPr>
        <w:t>at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risk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is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confidence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that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public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officials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and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politicians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in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Canada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will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set</w:t>
      </w:r>
      <w:r w:rsidRPr="00C73197">
        <w:rPr>
          <w:rFonts w:cs="Cambria Italic"/>
          <w:spacing w:val="-3"/>
          <w:kern w:val="1"/>
        </w:rPr>
        <w:t xml:space="preserve"> </w:t>
      </w:r>
      <w:r w:rsidRPr="00C73197">
        <w:rPr>
          <w:rFonts w:cs="Cambria Italic"/>
          <w:kern w:val="1"/>
        </w:rPr>
        <w:t>aside</w:t>
      </w:r>
      <w:r w:rsidRPr="00C73197">
        <w:rPr>
          <w:rFonts w:cs="Cambria Italic"/>
          <w:spacing w:val="-4"/>
          <w:kern w:val="1"/>
        </w:rPr>
        <w:t xml:space="preserve"> </w:t>
      </w:r>
      <w:r w:rsidRPr="00C73197">
        <w:rPr>
          <w:rFonts w:cs="Cambria Italic"/>
          <w:kern w:val="1"/>
        </w:rPr>
        <w:t>their</w:t>
      </w:r>
      <w:r w:rsidRPr="00C73197">
        <w:rPr>
          <w:rFonts w:cs="Cambria Italic"/>
          <w:spacing w:val="-50"/>
          <w:kern w:val="1"/>
        </w:rPr>
        <w:t xml:space="preserve"> </w:t>
      </w:r>
      <w:r w:rsidRPr="00C73197">
        <w:rPr>
          <w:rFonts w:cs="Cambria Italic"/>
          <w:kern w:val="1"/>
        </w:rPr>
        <w:t>reflexive,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self-serving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secrecy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and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do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the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right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thing</w:t>
      </w:r>
      <w:r w:rsidRPr="00C73197">
        <w:rPr>
          <w:rFonts w:cs="Cambria Italic"/>
          <w:spacing w:val="-1"/>
          <w:kern w:val="1"/>
        </w:rPr>
        <w:t xml:space="preserve"> </w:t>
      </w:r>
      <w:r w:rsidRPr="00C73197">
        <w:rPr>
          <w:rFonts w:cs="Cambria Italic"/>
          <w:kern w:val="1"/>
        </w:rPr>
        <w:t>for the</w:t>
      </w:r>
      <w:r w:rsidRPr="00C73197">
        <w:rPr>
          <w:rFonts w:cs="Cambria Italic"/>
          <w:spacing w:val="-2"/>
          <w:kern w:val="1"/>
        </w:rPr>
        <w:t xml:space="preserve"> </w:t>
      </w:r>
      <w:r w:rsidRPr="00C73197">
        <w:rPr>
          <w:rFonts w:cs="Cambria Italic"/>
          <w:kern w:val="1"/>
        </w:rPr>
        <w:t>country.</w:t>
      </w:r>
    </w:p>
    <w:p w:rsidR="00C73197" w:rsidRPr="00C73197" w:rsidRDefault="00C73197" w:rsidP="00C73197">
      <w:pPr>
        <w:widowControl w:val="0"/>
        <w:autoSpaceDE w:val="0"/>
        <w:autoSpaceDN w:val="0"/>
        <w:adjustRightInd w:val="0"/>
        <w:spacing w:before="11"/>
        <w:rPr>
          <w:rFonts w:cs="Cambria Italic"/>
          <w:kern w:val="1"/>
        </w:rPr>
      </w:pPr>
    </w:p>
    <w:p w:rsidR="006E24E0" w:rsidRPr="00C73197" w:rsidRDefault="00C73197" w:rsidP="00C73197">
      <w:pPr>
        <w:widowControl w:val="0"/>
        <w:autoSpaceDE w:val="0"/>
        <w:autoSpaceDN w:val="0"/>
        <w:adjustRightInd w:val="0"/>
        <w:ind w:left="105" w:right="7302"/>
      </w:pPr>
      <w:r w:rsidRPr="00C73197">
        <w:rPr>
          <w:rFonts w:cs="Cambria Italic"/>
          <w:kern w:val="1"/>
        </w:rPr>
        <w:t>Dean Beeby</w:t>
      </w:r>
      <w:r w:rsidRPr="00C73197">
        <w:rPr>
          <w:rFonts w:cs="Cambria Italic"/>
          <w:spacing w:val="-51"/>
          <w:kern w:val="1"/>
        </w:rPr>
        <w:t xml:space="preserve"> </w:t>
      </w:r>
      <w:r w:rsidRPr="00C73197">
        <w:rPr>
          <w:rFonts w:cs="Cambria Italic"/>
          <w:kern w:val="1"/>
        </w:rPr>
        <w:t>OTTAWA</w:t>
      </w:r>
      <w:bookmarkStart w:id="0" w:name="_GoBack"/>
      <w:bookmarkEnd w:id="0"/>
    </w:p>
    <w:sectPr w:rsidR="006E24E0" w:rsidRPr="00C73197" w:rsidSect="004D06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Italic">
    <w:panose1 w:val="02040503050406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97"/>
    <w:rsid w:val="006E24E0"/>
    <w:rsid w:val="007A69F9"/>
    <w:rsid w:val="00C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76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3075</Words>
  <Characters>17530</Characters>
  <Application>Microsoft Macintosh Word</Application>
  <DocSecurity>0</DocSecurity>
  <Lines>146</Lines>
  <Paragraphs>41</Paragraphs>
  <ScaleCrop>false</ScaleCrop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Beeby</dc:creator>
  <cp:keywords/>
  <dc:description/>
  <cp:lastModifiedBy>Dean Beeby</cp:lastModifiedBy>
  <cp:revision>1</cp:revision>
  <dcterms:created xsi:type="dcterms:W3CDTF">2023-04-21T12:25:00Z</dcterms:created>
  <dcterms:modified xsi:type="dcterms:W3CDTF">2023-04-21T12:27:00Z</dcterms:modified>
</cp:coreProperties>
</file>